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45748" w14:textId="447A608F" w:rsidR="00522523" w:rsidRPr="00BE02F2" w:rsidRDefault="00522523" w:rsidP="00522523">
      <w:pPr>
        <w:pStyle w:val="Titel"/>
      </w:pPr>
      <w:r w:rsidRPr="00BE02F2">
        <w:t>Improving learning outcomes of small groups working on an engineering design-assignment during lectures</w:t>
      </w:r>
    </w:p>
    <w:p w14:paraId="2A52FDFD" w14:textId="1D8DE0B1" w:rsidR="00B5694C" w:rsidRPr="00A761F8" w:rsidRDefault="007E5294" w:rsidP="00886659">
      <w:pPr>
        <w:pStyle w:val="Authorlist"/>
        <w:rPr>
          <w:rFonts w:ascii="Arial" w:hAnsi="Arial"/>
          <w:lang w:val="nl-NL"/>
        </w:rPr>
      </w:pPr>
      <w:r w:rsidRPr="00A761F8">
        <w:rPr>
          <w:rFonts w:ascii="Arial" w:hAnsi="Arial"/>
          <w:b/>
          <w:lang w:val="nl-NL"/>
        </w:rPr>
        <w:t>R</w:t>
      </w:r>
      <w:r w:rsidR="00ED587B" w:rsidRPr="00A761F8">
        <w:rPr>
          <w:rFonts w:ascii="Arial" w:hAnsi="Arial"/>
          <w:b/>
          <w:lang w:val="nl-NL"/>
        </w:rPr>
        <w:t>.S.</w:t>
      </w:r>
      <w:r w:rsidRPr="00A761F8">
        <w:rPr>
          <w:rFonts w:ascii="Arial" w:hAnsi="Arial"/>
          <w:b/>
          <w:lang w:val="nl-NL"/>
        </w:rPr>
        <w:t xml:space="preserve"> de Graaf</w:t>
      </w:r>
      <w:r w:rsidR="0013371E">
        <w:rPr>
          <w:rStyle w:val="Voetnootmarkering"/>
          <w:rFonts w:ascii="Arial" w:hAnsi="Arial"/>
          <w:b/>
          <w:lang w:val="en-GB"/>
        </w:rPr>
        <w:footnoteReference w:id="1"/>
      </w:r>
      <w:r w:rsidR="00B5694C" w:rsidRPr="00A761F8">
        <w:rPr>
          <w:rFonts w:ascii="Arial" w:hAnsi="Arial"/>
          <w:lang w:val="nl-NL"/>
        </w:rPr>
        <w:t xml:space="preserve"> </w:t>
      </w:r>
      <w:r w:rsidR="002F5FC7" w:rsidRPr="00A761F8">
        <w:rPr>
          <w:rFonts w:ascii="Arial" w:hAnsi="Arial"/>
          <w:lang w:val="nl-NL"/>
        </w:rPr>
        <w:br/>
      </w:r>
      <w:r w:rsidRPr="00A761F8">
        <w:rPr>
          <w:rFonts w:ascii="Arial" w:hAnsi="Arial"/>
          <w:lang w:val="nl-NL"/>
        </w:rPr>
        <w:t>University of Twente</w:t>
      </w:r>
      <w:r w:rsidR="002F5FC7" w:rsidRPr="00A761F8">
        <w:rPr>
          <w:rFonts w:ascii="Arial" w:hAnsi="Arial"/>
          <w:lang w:val="nl-NL"/>
        </w:rPr>
        <w:br/>
      </w:r>
      <w:r w:rsidRPr="00A761F8">
        <w:rPr>
          <w:rFonts w:ascii="Arial" w:hAnsi="Arial"/>
          <w:lang w:val="nl-NL"/>
        </w:rPr>
        <w:t>Enschede</w:t>
      </w:r>
      <w:r w:rsidR="00B5694C" w:rsidRPr="00A761F8">
        <w:rPr>
          <w:rFonts w:ascii="Arial" w:hAnsi="Arial"/>
          <w:lang w:val="nl-NL"/>
        </w:rPr>
        <w:t xml:space="preserve">, </w:t>
      </w:r>
      <w:proofErr w:type="spellStart"/>
      <w:r w:rsidRPr="00A761F8">
        <w:rPr>
          <w:rFonts w:ascii="Arial" w:hAnsi="Arial"/>
          <w:lang w:val="nl-NL"/>
        </w:rPr>
        <w:t>the</w:t>
      </w:r>
      <w:proofErr w:type="spellEnd"/>
      <w:r w:rsidRPr="00A761F8">
        <w:rPr>
          <w:rFonts w:ascii="Arial" w:hAnsi="Arial"/>
          <w:lang w:val="nl-NL"/>
        </w:rPr>
        <w:t xml:space="preserve"> Netherlands</w:t>
      </w:r>
    </w:p>
    <w:p w14:paraId="43428FB0" w14:textId="46D5C907" w:rsidR="0086318A" w:rsidRPr="00BE02F2" w:rsidRDefault="00B5694C" w:rsidP="002F5FC7">
      <w:pPr>
        <w:pStyle w:val="Keywords"/>
        <w:rPr>
          <w:lang w:val="en-GB"/>
        </w:rPr>
      </w:pPr>
      <w:r w:rsidRPr="00BE02F2">
        <w:rPr>
          <w:b/>
          <w:lang w:val="en-GB"/>
        </w:rPr>
        <w:t>Conference Key Areas</w:t>
      </w:r>
      <w:r w:rsidRPr="00BE02F2">
        <w:rPr>
          <w:lang w:val="en-GB"/>
        </w:rPr>
        <w:t xml:space="preserve">: </w:t>
      </w:r>
      <w:r w:rsidR="004959ED" w:rsidRPr="00BE02F2">
        <w:rPr>
          <w:lang w:val="en-GB"/>
        </w:rPr>
        <w:t xml:space="preserve">future engineering skills, </w:t>
      </w:r>
      <w:r w:rsidR="00AC19F1">
        <w:rPr>
          <w:lang w:val="en-GB"/>
        </w:rPr>
        <w:t>interdisciplinary education</w:t>
      </w:r>
    </w:p>
    <w:p w14:paraId="6B8F2E93" w14:textId="741B355B" w:rsidR="00B5694C" w:rsidRPr="00BE02F2" w:rsidRDefault="00B5694C" w:rsidP="002F5FC7">
      <w:pPr>
        <w:pStyle w:val="Keywords"/>
        <w:rPr>
          <w:lang w:val="en-GB"/>
        </w:rPr>
      </w:pPr>
      <w:r w:rsidRPr="00BE02F2">
        <w:rPr>
          <w:b/>
          <w:lang w:val="en-GB"/>
        </w:rPr>
        <w:t>Keywords</w:t>
      </w:r>
      <w:r w:rsidRPr="00BE02F2">
        <w:rPr>
          <w:lang w:val="en-GB"/>
        </w:rPr>
        <w:t xml:space="preserve">: </w:t>
      </w:r>
      <w:r w:rsidR="004959ED" w:rsidRPr="00BE02F2">
        <w:rPr>
          <w:lang w:val="en-GB"/>
        </w:rPr>
        <w:t>collaborative learning, group work, engineering, design, higher education</w:t>
      </w:r>
    </w:p>
    <w:p w14:paraId="6EFA9CDC" w14:textId="77777777" w:rsidR="003951B7" w:rsidRPr="00BE02F2" w:rsidRDefault="003951B7" w:rsidP="004F4B37">
      <w:pPr>
        <w:pStyle w:val="AbstractTitle"/>
        <w:rPr>
          <w:rFonts w:cs="Arial"/>
        </w:rPr>
      </w:pPr>
      <w:r w:rsidRPr="00BE02F2">
        <w:rPr>
          <w:rFonts w:cs="Arial"/>
        </w:rPr>
        <w:t>ABSTRACT</w:t>
      </w:r>
    </w:p>
    <w:p w14:paraId="4EC34344" w14:textId="420CE3F5" w:rsidR="004959ED" w:rsidRPr="00BE02F2" w:rsidRDefault="004959ED" w:rsidP="004959ED">
      <w:pPr>
        <w:pStyle w:val="abstract"/>
        <w:rPr>
          <w:shd w:val="clear" w:color="auto" w:fill="FFFFFF"/>
          <w:lang w:eastAsia="nl-NL"/>
        </w:rPr>
      </w:pPr>
      <w:r w:rsidRPr="00BE02F2">
        <w:rPr>
          <w:shd w:val="clear" w:color="auto" w:fill="FFFFFF"/>
          <w:lang w:eastAsia="nl-NL"/>
        </w:rPr>
        <w:t xml:space="preserve">In the past years, the interest in collaborative learning has increased substantially. However, despite the attention for collaborative learning and the existing body of knowledge on that topic, many </w:t>
      </w:r>
      <w:r w:rsidR="009A11F4" w:rsidRPr="00BE02F2">
        <w:rPr>
          <w:shd w:val="clear" w:color="auto" w:fill="FFFFFF"/>
          <w:lang w:eastAsia="nl-NL"/>
        </w:rPr>
        <w:t>lecturers</w:t>
      </w:r>
      <w:r w:rsidRPr="00BE02F2">
        <w:rPr>
          <w:shd w:val="clear" w:color="auto" w:fill="FFFFFF"/>
          <w:lang w:eastAsia="nl-NL"/>
        </w:rPr>
        <w:t xml:space="preserve"> experience problems when implementing collaborative learning. </w:t>
      </w:r>
      <w:r w:rsidR="00D605CB">
        <w:rPr>
          <w:shd w:val="clear" w:color="auto" w:fill="FFFFFF"/>
          <w:lang w:eastAsia="nl-NL"/>
        </w:rPr>
        <w:t xml:space="preserve">Consequently, the theoretical benefits of collaborative learning are not always achieved in practice. </w:t>
      </w:r>
      <w:r w:rsidRPr="00BE02F2">
        <w:rPr>
          <w:shd w:val="clear" w:color="auto" w:fill="FFFFFF"/>
          <w:lang w:eastAsia="nl-NL"/>
        </w:rPr>
        <w:t xml:space="preserve">To address this gap, this research studied higher education students collaborating on an engineering design-assignment during lectures, as a form of collaborative learning. The specific research question was: how can </w:t>
      </w:r>
      <w:r w:rsidR="009A11F4" w:rsidRPr="00BE02F2">
        <w:rPr>
          <w:shd w:val="clear" w:color="auto" w:fill="FFFFFF"/>
          <w:lang w:eastAsia="nl-NL"/>
        </w:rPr>
        <w:t>lecturers</w:t>
      </w:r>
      <w:r w:rsidRPr="00BE02F2">
        <w:rPr>
          <w:shd w:val="clear" w:color="auto" w:fill="FFFFFF"/>
          <w:lang w:eastAsia="nl-NL"/>
        </w:rPr>
        <w:t xml:space="preserve"> improve learning outcomes of small groups working on an engineering design-assignment during lectures? The research is a design-based research, aimed at systematically investigating problems, and designing and </w:t>
      </w:r>
      <w:r w:rsidR="00D05CF1">
        <w:rPr>
          <w:shd w:val="clear" w:color="auto" w:fill="FFFFFF"/>
          <w:lang w:eastAsia="nl-NL"/>
        </w:rPr>
        <w:t>evaluating</w:t>
      </w:r>
      <w:r w:rsidRPr="00BE02F2">
        <w:rPr>
          <w:shd w:val="clear" w:color="auto" w:fill="FFFFFF"/>
          <w:lang w:eastAsia="nl-NL"/>
        </w:rPr>
        <w:t xml:space="preserve"> solutions to improve </w:t>
      </w:r>
      <w:r w:rsidR="009A11F4" w:rsidRPr="00BE02F2">
        <w:rPr>
          <w:shd w:val="clear" w:color="auto" w:fill="FFFFFF"/>
          <w:lang w:eastAsia="nl-NL"/>
        </w:rPr>
        <w:t>lecturers</w:t>
      </w:r>
      <w:r w:rsidRPr="00BE02F2">
        <w:rPr>
          <w:shd w:val="clear" w:color="auto" w:fill="FFFFFF"/>
          <w:lang w:eastAsia="nl-NL"/>
        </w:rPr>
        <w:t xml:space="preserve">’ actions and education. </w:t>
      </w:r>
      <w:r w:rsidR="005424D5">
        <w:rPr>
          <w:shd w:val="clear" w:color="auto" w:fill="FFFFFF"/>
          <w:lang w:eastAsia="nl-NL"/>
        </w:rPr>
        <w:t>F</w:t>
      </w:r>
      <w:r w:rsidR="003A7F22" w:rsidRPr="00BE02F2">
        <w:rPr>
          <w:shd w:val="clear" w:color="auto" w:fill="FFFFFF"/>
          <w:lang w:eastAsia="nl-NL"/>
        </w:rPr>
        <w:t xml:space="preserve">ive </w:t>
      </w:r>
      <w:r w:rsidRPr="00BE02F2">
        <w:rPr>
          <w:shd w:val="clear" w:color="auto" w:fill="FFFFFF"/>
          <w:lang w:eastAsia="nl-NL"/>
        </w:rPr>
        <w:t xml:space="preserve">groups were videotaped when working on an assignment and the learning outcomes of those groups were assessed. Then, problems were analysed and possible solutions to improve learning outcomes were developed. The solutions had the form of practical </w:t>
      </w:r>
      <w:r w:rsidR="00AC502E" w:rsidRPr="00BE02F2">
        <w:rPr>
          <w:shd w:val="clear" w:color="auto" w:fill="FFFFFF"/>
          <w:lang w:eastAsia="nl-NL"/>
        </w:rPr>
        <w:t>interventions</w:t>
      </w:r>
      <w:r w:rsidRPr="00BE02F2">
        <w:rPr>
          <w:shd w:val="clear" w:color="auto" w:fill="FFFFFF"/>
          <w:lang w:eastAsia="nl-NL"/>
        </w:rPr>
        <w:t xml:space="preserve"> that </w:t>
      </w:r>
      <w:r w:rsidR="009A11F4" w:rsidRPr="00BE02F2">
        <w:rPr>
          <w:shd w:val="clear" w:color="auto" w:fill="FFFFFF"/>
          <w:lang w:eastAsia="nl-NL"/>
        </w:rPr>
        <w:t>lecturers</w:t>
      </w:r>
      <w:r w:rsidRPr="00BE02F2">
        <w:rPr>
          <w:shd w:val="clear" w:color="auto" w:fill="FFFFFF"/>
          <w:lang w:eastAsia="nl-NL"/>
        </w:rPr>
        <w:t xml:space="preserve"> </w:t>
      </w:r>
      <w:r w:rsidR="00D05CF1">
        <w:rPr>
          <w:shd w:val="clear" w:color="auto" w:fill="FFFFFF"/>
          <w:lang w:eastAsia="nl-NL"/>
        </w:rPr>
        <w:t>could</w:t>
      </w:r>
      <w:r w:rsidRPr="00BE02F2">
        <w:rPr>
          <w:shd w:val="clear" w:color="auto" w:fill="FFFFFF"/>
          <w:lang w:eastAsia="nl-NL"/>
        </w:rPr>
        <w:t xml:space="preserve"> apply straight away. The </w:t>
      </w:r>
      <w:r w:rsidR="00C36FFB">
        <w:rPr>
          <w:shd w:val="clear" w:color="auto" w:fill="FFFFFF"/>
          <w:lang w:eastAsia="nl-NL"/>
        </w:rPr>
        <w:t>interventions were</w:t>
      </w:r>
      <w:r w:rsidRPr="00BE02F2">
        <w:rPr>
          <w:shd w:val="clear" w:color="auto" w:fill="FFFFFF"/>
          <w:lang w:eastAsia="nl-NL"/>
        </w:rPr>
        <w:t xml:space="preserve"> </w:t>
      </w:r>
      <w:r w:rsidR="00D05CF1">
        <w:rPr>
          <w:shd w:val="clear" w:color="auto" w:fill="FFFFFF"/>
          <w:lang w:eastAsia="nl-NL"/>
        </w:rPr>
        <w:t>evaluated</w:t>
      </w:r>
      <w:r w:rsidRPr="00BE02F2">
        <w:rPr>
          <w:shd w:val="clear" w:color="auto" w:fill="FFFFFF"/>
          <w:lang w:eastAsia="nl-NL"/>
        </w:rPr>
        <w:t xml:space="preserve"> by applying </w:t>
      </w:r>
      <w:r w:rsidR="00C36FFB">
        <w:rPr>
          <w:shd w:val="clear" w:color="auto" w:fill="FFFFFF"/>
          <w:lang w:eastAsia="nl-NL"/>
        </w:rPr>
        <w:t>them</w:t>
      </w:r>
      <w:r w:rsidRPr="00BE02F2">
        <w:rPr>
          <w:shd w:val="clear" w:color="auto" w:fill="FFFFFF"/>
          <w:lang w:eastAsia="nl-NL"/>
        </w:rPr>
        <w:t xml:space="preserve"> to treatment groups and comparing their learning outcomes with those of control groups, which </w:t>
      </w:r>
      <w:r w:rsidR="00D05CF1">
        <w:rPr>
          <w:shd w:val="clear" w:color="auto" w:fill="FFFFFF"/>
          <w:lang w:eastAsia="nl-NL"/>
        </w:rPr>
        <w:t>were</w:t>
      </w:r>
      <w:r w:rsidRPr="00BE02F2">
        <w:rPr>
          <w:shd w:val="clear" w:color="auto" w:fill="FFFFFF"/>
          <w:lang w:eastAsia="nl-NL"/>
        </w:rPr>
        <w:t xml:space="preserve"> not subjected to interventions. The results revealed that for most of the groups to which the </w:t>
      </w:r>
      <w:r w:rsidR="00C36FFB">
        <w:rPr>
          <w:shd w:val="clear" w:color="auto" w:fill="FFFFFF"/>
          <w:lang w:eastAsia="nl-NL"/>
        </w:rPr>
        <w:t>interventions were</w:t>
      </w:r>
      <w:r w:rsidRPr="00BE02F2">
        <w:rPr>
          <w:shd w:val="clear" w:color="auto" w:fill="FFFFFF"/>
          <w:lang w:eastAsia="nl-NL"/>
        </w:rPr>
        <w:t xml:space="preserve"> applied, learning outcomes were better</w:t>
      </w:r>
      <w:r w:rsidR="00EB08E9">
        <w:rPr>
          <w:shd w:val="clear" w:color="auto" w:fill="FFFFFF"/>
          <w:lang w:eastAsia="nl-NL"/>
        </w:rPr>
        <w:t>. However,</w:t>
      </w:r>
      <w:r w:rsidR="00D05CF1">
        <w:rPr>
          <w:shd w:val="clear" w:color="auto" w:fill="FFFFFF"/>
          <w:lang w:eastAsia="nl-NL"/>
        </w:rPr>
        <w:t xml:space="preserve"> </w:t>
      </w:r>
      <w:r w:rsidRPr="00BE02F2">
        <w:rPr>
          <w:shd w:val="clear" w:color="auto" w:fill="FFFFFF"/>
          <w:lang w:eastAsia="nl-NL"/>
        </w:rPr>
        <w:t>there were also exceptions</w:t>
      </w:r>
      <w:r w:rsidR="00D605CB">
        <w:rPr>
          <w:shd w:val="clear" w:color="auto" w:fill="FFFFFF"/>
          <w:lang w:eastAsia="nl-NL"/>
        </w:rPr>
        <w:t>. F</w:t>
      </w:r>
      <w:r w:rsidRPr="00BE02F2">
        <w:rPr>
          <w:shd w:val="clear" w:color="auto" w:fill="FFFFFF"/>
          <w:lang w:eastAsia="nl-NL"/>
        </w:rPr>
        <w:t xml:space="preserve">urther analysis was needed to explain these. This research is relevant for </w:t>
      </w:r>
      <w:r w:rsidR="009A11F4" w:rsidRPr="00BE02F2">
        <w:rPr>
          <w:shd w:val="clear" w:color="auto" w:fill="FFFFFF"/>
          <w:lang w:eastAsia="nl-NL"/>
        </w:rPr>
        <w:t>lecturers</w:t>
      </w:r>
      <w:r w:rsidRPr="00BE02F2">
        <w:rPr>
          <w:shd w:val="clear" w:color="auto" w:fill="FFFFFF"/>
          <w:lang w:eastAsia="nl-NL"/>
        </w:rPr>
        <w:t xml:space="preserve"> who apply group work in their </w:t>
      </w:r>
      <w:r w:rsidR="005424D5">
        <w:rPr>
          <w:shd w:val="clear" w:color="auto" w:fill="FFFFFF"/>
          <w:lang w:eastAsia="nl-NL"/>
        </w:rPr>
        <w:t>lectures</w:t>
      </w:r>
      <w:r w:rsidRPr="00BE02F2">
        <w:rPr>
          <w:shd w:val="clear" w:color="auto" w:fill="FFFFFF"/>
          <w:lang w:eastAsia="nl-NL"/>
        </w:rPr>
        <w:t xml:space="preserve"> because it reveals some mechanisms behind collaborative learning, and provides insight in variables that can be adjusted for further improvement.</w:t>
      </w:r>
    </w:p>
    <w:p w14:paraId="2B3FD2AC" w14:textId="77777777" w:rsidR="00C55E4D" w:rsidRPr="00BE02F2" w:rsidRDefault="00F26D66" w:rsidP="0086318A">
      <w:pPr>
        <w:pStyle w:val="Kop1"/>
        <w:rPr>
          <w:rFonts w:cs="Arial"/>
        </w:rPr>
      </w:pPr>
      <w:r w:rsidRPr="00BE02F2">
        <w:rPr>
          <w:rFonts w:cs="Arial"/>
        </w:rPr>
        <w:lastRenderedPageBreak/>
        <w:t>INTRODUCTION</w:t>
      </w:r>
    </w:p>
    <w:p w14:paraId="4A81DD49" w14:textId="0F0B8584" w:rsidR="00C55E4D" w:rsidRPr="00BE02F2" w:rsidRDefault="003A7F22" w:rsidP="00D8450C">
      <w:pPr>
        <w:pStyle w:val="Kop2"/>
        <w:rPr>
          <w:rFonts w:cs="Arial"/>
        </w:rPr>
      </w:pPr>
      <w:r w:rsidRPr="00BE02F2">
        <w:rPr>
          <w:rFonts w:cs="Arial"/>
        </w:rPr>
        <w:t>Research background and objective</w:t>
      </w:r>
    </w:p>
    <w:p w14:paraId="2F94CB6B" w14:textId="5369FCF0" w:rsidR="00B569AD" w:rsidRPr="00BE02F2" w:rsidRDefault="00B569AD" w:rsidP="00B569AD">
      <w:r w:rsidRPr="00BE02F2">
        <w:t xml:space="preserve">In the past years, the importance of collaborative learning has increased substantially. Collaborative learning can be defined as instruction that involves students working in teams to accomplish a common goal, under conditions that include team members’ interdependence, individual accountability, face-to-face promotive interaction, the use of collaborative skills, and group processing </w:t>
      </w:r>
      <w:r w:rsidRPr="00BE02F2">
        <w:fldChar w:fldCharType="begin"/>
      </w:r>
      <w:r w:rsidR="00D1588F">
        <w:instrText xml:space="preserve"> ADDIN EN.CITE &lt;EndNote&gt;&lt;Cite&gt;&lt;Author&gt;Felder&lt;/Author&gt;&lt;Year&gt;1994&lt;/Year&gt;&lt;RecNum&gt;214&lt;/RecNum&gt;&lt;DisplayText&gt;[1, 2]&lt;/DisplayText&gt;&lt;record&gt;&lt;rec-number&gt;214&lt;/rec-number&gt;&lt;foreign-keys&gt;&lt;key app="EN" db-id="9xtszadf69pvz6es9xpv9e23x9pes0vf5p00" timestamp="1529307945"&gt;214&lt;/key&gt;&lt;/foreign-keys&gt;&lt;ref-type name="Report"&gt;27&lt;/ref-type&gt;&lt;contributors&gt;&lt;authors&gt;&lt;author&gt;Felder, R.M.&lt;/author&gt;&lt;author&gt;Brent, R.&lt;/author&gt;&lt;/authors&gt;&lt;/contributors&gt;&lt;titles&gt;&lt;title&gt;Cooperative learning in technical courses: Procedures, Pitfalls, and Payoffs&lt;/title&gt;&lt;/titles&gt;&lt;number&gt;ED377038&lt;/number&gt;&lt;dates&gt;&lt;year&gt;1994&lt;/year&gt;&lt;/dates&gt;&lt;publisher&gt;ERIC Institute of Education Sciences&lt;/publisher&gt;&lt;urls&gt;&lt;/urls&gt;&lt;/record&gt;&lt;/Cite&gt;&lt;Cite&gt;&lt;Author&gt;Johnson&lt;/Author&gt;&lt;Year&gt;1991&lt;/Year&gt;&lt;RecNum&gt;212&lt;/RecNum&gt;&lt;record&gt;&lt;rec-number&gt;212&lt;/rec-number&gt;&lt;foreign-keys&gt;&lt;key app="EN" db-id="9xtszadf69pvz6es9xpv9e23x9pes0vf5p00" timestamp="1529307518"&gt;212&lt;/key&gt;&lt;/foreign-keys&gt;&lt;ref-type name="Government Document"&gt;46&lt;/ref-type&gt;&lt;contributors&gt;&lt;authors&gt;&lt;author&gt;Johnson, D.W.&lt;/author&gt;&lt;author&gt;Johnson, R.T.&lt;/author&gt;&lt;author&gt;Smith, K.A.&lt;/author&gt;&lt;/authors&gt;&lt;/contributors&gt;&lt;titles&gt;&lt;title&gt;Cooperative Learning: Increasing College Faculty Instructional Productivity: ASHE-ERIC Higher Education Report No. 4&lt;/title&gt;&lt;/titles&gt;&lt;dates&gt;&lt;year&gt;1991&lt;/year&gt;&lt;/dates&gt;&lt;pub-location&gt;Whashington D.C.&lt;/pub-location&gt;&lt;isbn&gt;ISBN-1-878380-09-5&lt;/isbn&gt;&lt;urls&gt;&lt;/urls&gt;&lt;custom1&gt;Association for the study of higher education&amp;#xD;ERIC clearinghouse on higher education&amp;#xD;George Washington University: School of education and human development&amp;#xD;&lt;/custom1&gt;&lt;/record&gt;&lt;/Cite&gt;&lt;/EndNote&gt;</w:instrText>
      </w:r>
      <w:r w:rsidRPr="00BE02F2">
        <w:fldChar w:fldCharType="separate"/>
      </w:r>
      <w:r w:rsidR="00C055E6" w:rsidRPr="00BE02F2">
        <w:rPr>
          <w:noProof/>
        </w:rPr>
        <w:t>[1, 2]</w:t>
      </w:r>
      <w:r w:rsidRPr="00BE02F2">
        <w:fldChar w:fldCharType="end"/>
      </w:r>
      <w:r w:rsidRPr="00BE02F2">
        <w:t>. Collaborative learning can take many forms such as students working together on projects, Problem-Based-Learning and Team-Based-Learning.</w:t>
      </w:r>
      <w:r w:rsidR="008F6431">
        <w:t xml:space="preserve"> </w:t>
      </w:r>
      <w:r w:rsidRPr="00BE02F2">
        <w:t xml:space="preserve">Collaborative learning has gained importance </w:t>
      </w:r>
      <w:r w:rsidR="005424D5" w:rsidRPr="00BE02F2">
        <w:t xml:space="preserve">in higher education </w:t>
      </w:r>
      <w:r w:rsidRPr="00BE02F2">
        <w:t xml:space="preserve">because of its effectiveness. Among others, collaborative learning tends to exhibit higher academic achievement, greater persistence through graduation, better high-level reasoning and critical thinking skills, and deeper understanding of learned material </w:t>
      </w:r>
      <w:r w:rsidRPr="00BE02F2">
        <w:fldChar w:fldCharType="begin"/>
      </w:r>
      <w:r w:rsidR="00F26800">
        <w:instrText xml:space="preserve"> ADDIN EN.CITE &lt;EndNote&gt;&lt;Cite&gt;&lt;Author&gt;Johnson&lt;/Author&gt;&lt;Year&gt;1998&lt;/Year&gt;&lt;RecNum&gt;216&lt;/RecNum&gt;&lt;DisplayText&gt;[3, 4]&lt;/DisplayText&gt;&lt;record&gt;&lt;rec-number&gt;216&lt;/rec-number&gt;&lt;foreign-keys&gt;&lt;key app="EN" db-id="9xtszadf69pvz6es9xpv9e23x9pes0vf5p00" timestamp="1529308544"&gt;216&lt;/key&gt;&lt;/foreign-keys&gt;&lt;ref-type name="Journal Article"&gt;17&lt;/ref-type&gt;&lt;contributors&gt;&lt;authors&gt;&lt;author&gt;Johnson, D. W.&lt;/author&gt;&lt;author&gt;Johnson, R. T.&lt;/author&gt;&lt;author&gt;Smith, K. A.&lt;/author&gt;&lt;/authors&gt;&lt;/contributors&gt;&lt;titles&gt;&lt;title&gt;Cooperative Learning Returns To College What Evidence Is There That It Works?&lt;/title&gt;&lt;secondary-title&gt;Change: The Magazine of Higher Learning&lt;/secondary-title&gt;&lt;/titles&gt;&lt;periodical&gt;&lt;full-title&gt;Change: The Magazine of Higher Learning&lt;/full-title&gt;&lt;/periodical&gt;&lt;pages&gt;26-35&lt;/pages&gt;&lt;volume&gt;30&lt;/volume&gt;&lt;number&gt;4&lt;/number&gt;&lt;dates&gt;&lt;year&gt;1998&lt;/year&gt;&lt;pub-dates&gt;&lt;date&gt;1998/07/01&lt;/date&gt;&lt;/pub-dates&gt;&lt;/dates&gt;&lt;publisher&gt;Routledge&lt;/publisher&gt;&lt;isbn&gt;0009-1383&lt;/isbn&gt;&lt;urls&gt;&lt;related-urls&gt;&lt;url&gt;https://doi.org/10.1080/00091389809602629&lt;/url&gt;&lt;/related-urls&gt;&lt;/urls&gt;&lt;electronic-resource-num&gt;10.1080/00091389809602629&lt;/electronic-resource-num&gt;&lt;/record&gt;&lt;/Cite&gt;&lt;Cite&gt;&lt;Author&gt;Slavin&lt;/Author&gt;&lt;Year&gt;2008&lt;/Year&gt;&lt;RecNum&gt;218&lt;/RecNum&gt;&lt;record&gt;&lt;rec-number&gt;218&lt;/rec-number&gt;&lt;foreign-keys&gt;&lt;key app="EN" db-id="9xtszadf69pvz6es9xpv9e23x9pes0vf5p00" timestamp="1529308947"&gt;218&lt;/key&gt;&lt;/foreign-keys&gt;&lt;ref-type name="Journal Article"&gt;17&lt;/ref-type&gt;&lt;contributors&gt;&lt;authors&gt;&lt;author&gt;Slavin, R.E.&lt;/author&gt;&lt;/authors&gt;&lt;/contributors&gt;&lt;titles&gt;&lt;title&gt;Cooperative Learning, Success for All, and Evidence-based Reform in education&lt;/title&gt;&lt;secondary-title&gt;Éducation et didactique&lt;/secondary-title&gt;&lt;/titles&gt;&lt;periodical&gt;&lt;full-title&gt;Éducation et didactique&lt;/full-title&gt;&lt;/periodical&gt;&lt;pages&gt;151-159&lt;/pages&gt;&lt;volume&gt;2&lt;/volume&gt;&lt;number&gt;2&lt;/number&gt;&lt;dates&gt;&lt;year&gt;2008&lt;/year&gt;&lt;/dates&gt;&lt;urls&gt;&lt;/urls&gt;&lt;/record&gt;&lt;/Cite&gt;&lt;/EndNote&gt;</w:instrText>
      </w:r>
      <w:r w:rsidRPr="00BE02F2">
        <w:fldChar w:fldCharType="separate"/>
      </w:r>
      <w:r w:rsidR="00F26800">
        <w:rPr>
          <w:noProof/>
        </w:rPr>
        <w:t>[3, 4]</w:t>
      </w:r>
      <w:r w:rsidRPr="00BE02F2">
        <w:fldChar w:fldCharType="end"/>
      </w:r>
      <w:r w:rsidRPr="00BE02F2">
        <w:t xml:space="preserve">. </w:t>
      </w:r>
    </w:p>
    <w:p w14:paraId="320AE844" w14:textId="77777777" w:rsidR="00B569AD" w:rsidRPr="00BE02F2" w:rsidRDefault="00B569AD" w:rsidP="00B569AD"/>
    <w:p w14:paraId="7CEFB7CA" w14:textId="4EBCB33A" w:rsidR="00EC24D2" w:rsidRPr="00BE02F2" w:rsidRDefault="00B569AD" w:rsidP="008F6431">
      <w:pPr>
        <w:rPr>
          <w:shd w:val="clear" w:color="auto" w:fill="FFFFFF"/>
          <w:lang w:eastAsia="nl-NL"/>
        </w:rPr>
      </w:pPr>
      <w:r w:rsidRPr="00BE02F2">
        <w:t xml:space="preserve">Many </w:t>
      </w:r>
      <w:r w:rsidR="009A11F4" w:rsidRPr="00BE02F2">
        <w:t>lecturers</w:t>
      </w:r>
      <w:r w:rsidRPr="00BE02F2">
        <w:t xml:space="preserve"> acknowledge the importance of collaborative learning and apply this in some form in their courses, but despite </w:t>
      </w:r>
      <w:r w:rsidR="00EC24D2" w:rsidRPr="00BE02F2">
        <w:rPr>
          <w:shd w:val="clear" w:color="auto" w:fill="FFFFFF"/>
          <w:lang w:eastAsia="nl-NL"/>
        </w:rPr>
        <w:t xml:space="preserve">the attention for collaborative learning and the existing body of knowledge on that topic, many </w:t>
      </w:r>
      <w:r w:rsidR="009A11F4" w:rsidRPr="00BE02F2">
        <w:rPr>
          <w:shd w:val="clear" w:color="auto" w:fill="FFFFFF"/>
          <w:lang w:eastAsia="nl-NL"/>
        </w:rPr>
        <w:t>lecturers</w:t>
      </w:r>
      <w:r w:rsidR="00EC24D2" w:rsidRPr="00BE02F2">
        <w:rPr>
          <w:shd w:val="clear" w:color="auto" w:fill="FFFFFF"/>
          <w:lang w:eastAsia="nl-NL"/>
        </w:rPr>
        <w:t xml:space="preserve"> experience problems when implementing collaborative learning</w:t>
      </w:r>
      <w:r w:rsidR="00A723C7" w:rsidRPr="00BE02F2">
        <w:rPr>
          <w:shd w:val="clear" w:color="auto" w:fill="FFFFFF"/>
          <w:lang w:eastAsia="nl-NL"/>
        </w:rPr>
        <w:t>.</w:t>
      </w:r>
      <w:r w:rsidR="00EC24D2" w:rsidRPr="00BE02F2">
        <w:rPr>
          <w:shd w:val="clear" w:color="auto" w:fill="FFFFFF"/>
          <w:lang w:eastAsia="nl-NL"/>
        </w:rPr>
        <w:t xml:space="preserve"> </w:t>
      </w:r>
      <w:r w:rsidR="001229B2">
        <w:rPr>
          <w:shd w:val="clear" w:color="auto" w:fill="FFFFFF"/>
          <w:lang w:eastAsia="nl-NL"/>
        </w:rPr>
        <w:t xml:space="preserve">Consequently, the theoretical benefits of collaborative learning are not always achieved in practice. </w:t>
      </w:r>
      <w:r w:rsidR="00EC24D2" w:rsidRPr="00BE02F2">
        <w:rPr>
          <w:shd w:val="clear" w:color="auto" w:fill="FFFFFF"/>
          <w:lang w:eastAsia="nl-NL"/>
        </w:rPr>
        <w:t>To address this gap between theory and practice, this research studied higher education students collaborating on an engineering design-assignment during lectures, as a form of collaborative learning</w:t>
      </w:r>
      <w:r w:rsidR="003A7F22" w:rsidRPr="00BE02F2">
        <w:rPr>
          <w:shd w:val="clear" w:color="auto" w:fill="FFFFFF"/>
          <w:lang w:eastAsia="nl-NL"/>
        </w:rPr>
        <w:t>. T</w:t>
      </w:r>
      <w:r w:rsidRPr="00BE02F2">
        <w:rPr>
          <w:shd w:val="clear" w:color="auto" w:fill="FFFFFF"/>
          <w:lang w:eastAsia="nl-NL"/>
        </w:rPr>
        <w:t xml:space="preserve">he specific research question is: how can </w:t>
      </w:r>
      <w:r w:rsidR="009A11F4" w:rsidRPr="00BE02F2">
        <w:rPr>
          <w:shd w:val="clear" w:color="auto" w:fill="FFFFFF"/>
          <w:lang w:eastAsia="nl-NL"/>
        </w:rPr>
        <w:t>lecturers</w:t>
      </w:r>
      <w:r w:rsidRPr="00BE02F2">
        <w:rPr>
          <w:shd w:val="clear" w:color="auto" w:fill="FFFFFF"/>
          <w:lang w:eastAsia="nl-NL"/>
        </w:rPr>
        <w:t xml:space="preserve"> improve learning outcomes of small groups working on an engineering design-assignment during lectures? </w:t>
      </w:r>
      <w:r w:rsidR="003A7F22" w:rsidRPr="00BE02F2">
        <w:rPr>
          <w:shd w:val="clear" w:color="auto" w:fill="FFFFFF"/>
          <w:lang w:eastAsia="nl-NL"/>
        </w:rPr>
        <w:t xml:space="preserve">The corresponding goal </w:t>
      </w:r>
      <w:r w:rsidR="003A7F22" w:rsidRPr="00BE02F2">
        <w:t xml:space="preserve">of this study is to </w:t>
      </w:r>
      <w:r w:rsidR="00575307">
        <w:t xml:space="preserve">develop </w:t>
      </w:r>
      <w:r w:rsidR="003A7F22" w:rsidRPr="00BE02F2">
        <w:t xml:space="preserve">interventions to improve the learning outcomes of small groups working on an </w:t>
      </w:r>
      <w:r w:rsidR="004414D3" w:rsidRPr="00BE02F2">
        <w:rPr>
          <w:shd w:val="clear" w:color="auto" w:fill="FFFFFF"/>
          <w:lang w:eastAsia="nl-NL"/>
        </w:rPr>
        <w:t>engineering design-assignment</w:t>
      </w:r>
      <w:r w:rsidR="003A7F22" w:rsidRPr="00BE02F2">
        <w:t xml:space="preserve"> during lectures.</w:t>
      </w:r>
      <w:r w:rsidR="008F6431">
        <w:t xml:space="preserve"> </w:t>
      </w:r>
      <w:r w:rsidR="00EC24D2" w:rsidRPr="00BE02F2">
        <w:rPr>
          <w:shd w:val="clear" w:color="auto" w:fill="FFFFFF"/>
          <w:lang w:eastAsia="nl-NL"/>
        </w:rPr>
        <w:t>This research is relevant for</w:t>
      </w:r>
      <w:r w:rsidR="000D375D" w:rsidRPr="00BE02F2">
        <w:rPr>
          <w:shd w:val="clear" w:color="auto" w:fill="FFFFFF"/>
          <w:lang w:eastAsia="nl-NL"/>
        </w:rPr>
        <w:t xml:space="preserve"> </w:t>
      </w:r>
      <w:r w:rsidR="00575307">
        <w:rPr>
          <w:shd w:val="clear" w:color="auto" w:fill="FFFFFF"/>
          <w:lang w:eastAsia="nl-NL"/>
        </w:rPr>
        <w:t xml:space="preserve">lecturers </w:t>
      </w:r>
      <w:r w:rsidR="00EC24D2" w:rsidRPr="00BE02F2">
        <w:rPr>
          <w:shd w:val="clear" w:color="auto" w:fill="FFFFFF"/>
          <w:lang w:eastAsia="nl-NL"/>
        </w:rPr>
        <w:t xml:space="preserve">who apply group work in their courses because it provides actions to improve learning outcomes and reveals some mechanisms behind collaborative learning. </w:t>
      </w:r>
    </w:p>
    <w:p w14:paraId="046431D7" w14:textId="04DF4C76" w:rsidR="0086318A" w:rsidRPr="00BE02F2" w:rsidRDefault="008332AF" w:rsidP="0086318A">
      <w:pPr>
        <w:pStyle w:val="Kop2"/>
        <w:rPr>
          <w:rFonts w:cs="Arial"/>
        </w:rPr>
      </w:pPr>
      <w:r w:rsidRPr="00BE02F2">
        <w:rPr>
          <w:rFonts w:cs="Arial"/>
        </w:rPr>
        <w:t xml:space="preserve">Activity Theory as a theoretical </w:t>
      </w:r>
      <w:r w:rsidR="000340F5" w:rsidRPr="00BE02F2">
        <w:rPr>
          <w:rFonts w:cs="Arial"/>
        </w:rPr>
        <w:t>framework</w:t>
      </w:r>
    </w:p>
    <w:p w14:paraId="69B4A33B" w14:textId="71127DAC" w:rsidR="008332AF" w:rsidRPr="00BE02F2" w:rsidRDefault="008332AF" w:rsidP="008332AF">
      <w:r w:rsidRPr="00BE02F2">
        <w:t>In this</w:t>
      </w:r>
      <w:r w:rsidR="000D375D" w:rsidRPr="00BE02F2">
        <w:t xml:space="preserve"> </w:t>
      </w:r>
      <w:r w:rsidRPr="00BE02F2">
        <w:t xml:space="preserve">research, </w:t>
      </w:r>
      <w:r w:rsidR="00A24D8C">
        <w:t xml:space="preserve">a </w:t>
      </w:r>
      <w:r w:rsidR="00F26800">
        <w:t xml:space="preserve">well-supported </w:t>
      </w:r>
      <w:r w:rsidR="00FE0201">
        <w:t xml:space="preserve">theory </w:t>
      </w:r>
      <w:r w:rsidRPr="00BE02F2">
        <w:t xml:space="preserve">is used for analysing collaborative learning in groups </w:t>
      </w:r>
      <w:r w:rsidR="00575307">
        <w:t>working</w:t>
      </w:r>
      <w:r w:rsidRPr="00BE02F2">
        <w:t xml:space="preserve"> on an assignment. This theory is called Activity Theory (AT). The theory is suitable for studying collaborative learning in various learning environments </w:t>
      </w:r>
      <w:r w:rsidRPr="00BE02F2">
        <w:fldChar w:fldCharType="begin"/>
      </w:r>
      <w:r w:rsidR="00F26800">
        <w:instrText xml:space="preserve"> ADDIN EN.CITE &lt;EndNote&gt;&lt;Cite&gt;&lt;Author&gt;Sunyoung&lt;/Author&gt;&lt;Year&gt;2013&lt;/Year&gt;&lt;RecNum&gt;202&lt;/RecNum&gt;&lt;DisplayText&gt;[5]&lt;/DisplayText&gt;&lt;record&gt;&lt;rec-number&gt;202&lt;/rec-number&gt;&lt;foreign-keys&gt;&lt;key app="EN" db-id="9xtszadf69pvz6es9xpv9e23x9pes0vf5p00" timestamp="1520514565"&gt;202&lt;/key&gt;&lt;/foreign-keys&gt;&lt;ref-type name="Journal Article"&gt;17&lt;/ref-type&gt;&lt;contributors&gt;&lt;authors&gt;&lt;author&gt;Park Sunyoung&lt;/author&gt;&lt;author&gt;Cho Yonjoo&lt;/author&gt;&lt;author&gt;Yoon Seung Won&lt;/author&gt;&lt;author&gt;Han Heeyoung&lt;/author&gt;&lt;/authors&gt;&lt;/contributors&gt;&lt;titles&gt;&lt;title&gt;Comparing team learning approaches through the lens of activity theory&lt;/title&gt;&lt;secondary-title&gt;European Journal of Training and Development&lt;/secondary-title&gt;&lt;/titles&gt;&lt;periodical&gt;&lt;full-title&gt;European Journal of Training and Development&lt;/full-title&gt;&lt;/periodical&gt;&lt;pages&gt;788-810&lt;/pages&gt;&lt;volume&gt;37&lt;/volume&gt;&lt;number&gt;9&lt;/number&gt;&lt;keywords&gt;&lt;keyword&gt;Project-based learning,Action learning,Activity theory,Problem-based learning&lt;/keyword&gt;&lt;/keywords&gt;&lt;dates&gt;&lt;year&gt;2013&lt;/year&gt;&lt;/dates&gt;&lt;urls&gt;&lt;related-urls&gt;&lt;url&gt;https://www.emeraldinsight.com/doi/abs/10.1108/EJTD-04-2013-0048&lt;/url&gt;&lt;/related-urls&gt;&lt;/urls&gt;&lt;electronic-resource-num&gt;doi:10.1108/EJTD-04-2013-0048&lt;/electronic-resource-num&gt;&lt;/record&gt;&lt;/Cite&gt;&lt;/EndNote&gt;</w:instrText>
      </w:r>
      <w:r w:rsidRPr="00BE02F2">
        <w:fldChar w:fldCharType="separate"/>
      </w:r>
      <w:r w:rsidR="00F26800">
        <w:rPr>
          <w:noProof/>
        </w:rPr>
        <w:t>[5]</w:t>
      </w:r>
      <w:r w:rsidRPr="00BE02F2">
        <w:fldChar w:fldCharType="end"/>
      </w:r>
      <w:r w:rsidRPr="00BE02F2">
        <w:t xml:space="preserve">. Moreover, the theory has been used earlier to analyse collaborative learning in design and engineering education and in other learning environments too. </w:t>
      </w:r>
      <w:r w:rsidR="000340F5" w:rsidRPr="00BE02F2">
        <w:t>In addition</w:t>
      </w:r>
      <w:r w:rsidRPr="00BE02F2">
        <w:t xml:space="preserve">, key steps for carrying out research with the use of AT have been formulated </w:t>
      </w:r>
      <w:r w:rsidRPr="00BE02F2">
        <w:fldChar w:fldCharType="begin"/>
      </w:r>
      <w:r w:rsidR="00F26800">
        <w:instrText xml:space="preserve"> ADDIN EN.CITE &lt;EndNote&gt;&lt;Cite&gt;&lt;Author&gt;Mwanza&lt;/Author&gt;&lt;Year&gt;2005&lt;/Year&gt;&lt;RecNum&gt;203&lt;/RecNum&gt;&lt;DisplayText&gt;[6]&lt;/DisplayText&gt;&lt;record&gt;&lt;rec-number&gt;203&lt;/rec-number&gt;&lt;foreign-keys&gt;&lt;key app="EN" db-id="9xtszadf69pvz6es9xpv9e23x9pes0vf5p00" timestamp="1520514655"&gt;203&lt;/key&gt;&lt;/foreign-keys&gt;&lt;ref-type name="Journal Article"&gt;17&lt;/ref-type&gt;&lt;contributors&gt;&lt;authors&gt;&lt;author&gt;Mwanza, Daisy&lt;/author&gt;&lt;author&gt;Engeström, Yrjö&lt;/author&gt;&lt;/authors&gt;&lt;/contributors&gt;&lt;titles&gt;&lt;title&gt;Managing content in e-learning environments&lt;/title&gt;&lt;secondary-title&gt;British Journal of Educational Technology&lt;/secondary-title&gt;&lt;/titles&gt;&lt;periodical&gt;&lt;full-title&gt;British Journal of Educational Technology&lt;/full-title&gt;&lt;/periodical&gt;&lt;pages&gt;453-463&lt;/pages&gt;&lt;volume&gt;36&lt;/volume&gt;&lt;number&gt;3&lt;/number&gt;&lt;dates&gt;&lt;year&gt;2005&lt;/year&gt;&lt;/dates&gt;&lt;publisher&gt;Blackwell Publishing Ltd.&lt;/publisher&gt;&lt;isbn&gt;1467-8535&lt;/isbn&gt;&lt;urls&gt;&lt;related-urls&gt;&lt;url&gt;http://dx.doi.org/10.1111/j.1467-8535.2005.00479.x&lt;/url&gt;&lt;/related-urls&gt;&lt;/urls&gt;&lt;electronic-resource-num&gt;10.1111/j.1467-8535.2005.00479.x&lt;/electronic-resource-num&gt;&lt;/record&gt;&lt;/Cite&gt;&lt;/EndNote&gt;</w:instrText>
      </w:r>
      <w:r w:rsidRPr="00BE02F2">
        <w:fldChar w:fldCharType="separate"/>
      </w:r>
      <w:r w:rsidR="00F26800">
        <w:rPr>
          <w:noProof/>
        </w:rPr>
        <w:t>[6]</w:t>
      </w:r>
      <w:r w:rsidRPr="00BE02F2">
        <w:fldChar w:fldCharType="end"/>
      </w:r>
      <w:r w:rsidRPr="00BE02F2">
        <w:t xml:space="preserve">, and an example of applying this theory in an engineering design setting at higher education is also available </w:t>
      </w:r>
      <w:r w:rsidRPr="00BE02F2">
        <w:fldChar w:fldCharType="begin"/>
      </w:r>
      <w:r w:rsidR="00F26800">
        <w:instrText xml:space="preserve"> ADDIN EN.CITE &lt;EndNote&gt;&lt;Cite&gt;&lt;Author&gt;Zahedi&lt;/Author&gt;&lt;Year&gt;2017&lt;/Year&gt;&lt;RecNum&gt;208&lt;/RecNum&gt;&lt;DisplayText&gt;[7]&lt;/DisplayText&gt;&lt;record&gt;&lt;rec-number&gt;208&lt;/rec-number&gt;&lt;foreign-keys&gt;&lt;key app="EN" db-id="9xtszadf69pvz6es9xpv9e23x9pes0vf5p00" timestamp="1520516132"&gt;208&lt;/key&gt;&lt;/foreign-keys&gt;&lt;ref-type name="Journal Article"&gt;17&lt;/ref-type&gt;&lt;contributors&gt;&lt;authors&gt;&lt;author&gt;Zahedi, Mithra&lt;/author&gt;&lt;author&gt;Tessier, Virginie&lt;/author&gt;&lt;author&gt;Hawey, Dave&lt;/author&gt;&lt;/authors&gt;&lt;/contributors&gt;&lt;titles&gt;&lt;title&gt;Understanding Collaborative Design Through Activity Theory&lt;/title&gt;&lt;secondary-title&gt;The Design Journal&lt;/secondary-title&gt;&lt;/titles&gt;&lt;periodical&gt;&lt;full-title&gt;The Design Journal&lt;/full-title&gt;&lt;/periodical&gt;&lt;pages&gt;S4611-S4620&lt;/pages&gt;&lt;volume&gt;20&lt;/volume&gt;&lt;number&gt;sup1&lt;/number&gt;&lt;dates&gt;&lt;year&gt;2017&lt;/year&gt;&lt;pub-dates&gt;&lt;date&gt;2017/07/28&lt;/date&gt;&lt;/pub-dates&gt;&lt;/dates&gt;&lt;publisher&gt;Routledge&lt;/publisher&gt;&lt;isbn&gt;1460-6925&lt;/isbn&gt;&lt;urls&gt;&lt;related-urls&gt;&lt;url&gt;https://doi.org/10.1080/14606925.2017.1352958&lt;/url&gt;&lt;/related-urls&gt;&lt;/urls&gt;&lt;electronic-resource-num&gt;10.1080/14606925.2017.1352958&lt;/electronic-resource-num&gt;&lt;/record&gt;&lt;/Cite&gt;&lt;/EndNote&gt;</w:instrText>
      </w:r>
      <w:r w:rsidRPr="00BE02F2">
        <w:fldChar w:fldCharType="separate"/>
      </w:r>
      <w:r w:rsidR="00F26800">
        <w:rPr>
          <w:noProof/>
        </w:rPr>
        <w:t>[7]</w:t>
      </w:r>
      <w:r w:rsidRPr="00BE02F2">
        <w:fldChar w:fldCharType="end"/>
      </w:r>
      <w:r w:rsidRPr="00BE02F2">
        <w:t xml:space="preserve">. </w:t>
      </w:r>
      <w:r w:rsidR="00575307">
        <w:t>Thus,</w:t>
      </w:r>
      <w:r w:rsidRPr="00BE02F2">
        <w:t xml:space="preserve"> there is reference material to facilitate a thorough and evidence-based</w:t>
      </w:r>
      <w:r w:rsidR="000D375D" w:rsidRPr="00BE02F2">
        <w:t xml:space="preserve"> </w:t>
      </w:r>
      <w:r w:rsidR="000340F5" w:rsidRPr="00BE02F2">
        <w:t>research</w:t>
      </w:r>
      <w:r w:rsidRPr="00BE02F2">
        <w:t xml:space="preserve">. </w:t>
      </w:r>
    </w:p>
    <w:p w14:paraId="51E6EB45" w14:textId="77777777" w:rsidR="008332AF" w:rsidRPr="00BE02F2" w:rsidRDefault="008332AF" w:rsidP="008332AF"/>
    <w:p w14:paraId="7BF5580F" w14:textId="5412B05A" w:rsidR="000340F5" w:rsidRDefault="008332AF" w:rsidP="008332AF">
      <w:r w:rsidRPr="00BE02F2">
        <w:t xml:space="preserve">AT assumes that learning should be studied within the context in which it occurs because context and learning are intertwined. AT therefore can be categorised under the heading of the social constructivist learning perspectives. Rather than being a </w:t>
      </w:r>
      <w:r w:rsidRPr="00BE02F2">
        <w:lastRenderedPageBreak/>
        <w:t xml:space="preserve">process of knowledge transmission, knowledge is socially constructed, based on the intentionality, history, culture and tool mediation used in the process. AT helps to understand the subtleties of the collaborative learning process and the dynamics of collaboration between group members. </w:t>
      </w:r>
    </w:p>
    <w:p w14:paraId="4D67F8A9" w14:textId="1A1B8F14" w:rsidR="000340F5" w:rsidRPr="00BE02F2" w:rsidRDefault="000340F5" w:rsidP="000340F5">
      <w:pPr>
        <w:pStyle w:val="Kop2"/>
      </w:pPr>
      <w:r w:rsidRPr="00BE02F2">
        <w:t>Elements of Activity Theory</w:t>
      </w:r>
    </w:p>
    <w:p w14:paraId="7B27158E" w14:textId="38CCA34E" w:rsidR="008332AF" w:rsidRPr="00BE02F2" w:rsidRDefault="008332AF" w:rsidP="008332AF">
      <w:r w:rsidRPr="00BE02F2">
        <w:t>AT distinguishes six interrelated elements to interpret an activity carried out by a group. The elements are related to one another, forming the AT triangle</w:t>
      </w:r>
      <w:r w:rsidR="0098633E">
        <w:t xml:space="preserve"> (</w:t>
      </w:r>
      <w:r w:rsidR="0098633E">
        <w:fldChar w:fldCharType="begin"/>
      </w:r>
      <w:r w:rsidR="0098633E">
        <w:instrText xml:space="preserve"> REF _Ref535399292 \h </w:instrText>
      </w:r>
      <w:r w:rsidR="0098633E">
        <w:fldChar w:fldCharType="separate"/>
      </w:r>
      <w:r w:rsidR="0045391A" w:rsidRPr="00BE02F2">
        <w:t xml:space="preserve">Figure </w:t>
      </w:r>
      <w:r w:rsidR="0045391A">
        <w:rPr>
          <w:noProof/>
        </w:rPr>
        <w:t>1</w:t>
      </w:r>
      <w:r w:rsidR="0098633E">
        <w:fldChar w:fldCharType="end"/>
      </w:r>
      <w:r w:rsidR="0098633E">
        <w:t>).</w:t>
      </w:r>
    </w:p>
    <w:p w14:paraId="2572D682" w14:textId="77777777" w:rsidR="008332AF" w:rsidRPr="00BE02F2" w:rsidRDefault="008332AF" w:rsidP="000340F5">
      <w:pPr>
        <w:keepNext/>
        <w:jc w:val="center"/>
      </w:pPr>
      <w:r w:rsidRPr="00BE02F2">
        <w:rPr>
          <w:noProof/>
          <w:lang w:val="nl-NL" w:eastAsia="nl-NL"/>
        </w:rPr>
        <w:drawing>
          <wp:inline distT="0" distB="0" distL="0" distR="0" wp14:anchorId="096603F0" wp14:editId="29B1C7CF">
            <wp:extent cx="2634536" cy="142328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 triangle best picture.jpg"/>
                    <pic:cNvPicPr/>
                  </pic:nvPicPr>
                  <pic:blipFill>
                    <a:blip r:embed="rId8">
                      <a:extLst>
                        <a:ext uri="{28A0092B-C50C-407E-A947-70E740481C1C}">
                          <a14:useLocalDpi xmlns:a14="http://schemas.microsoft.com/office/drawing/2010/main" val="0"/>
                        </a:ext>
                      </a:extLst>
                    </a:blip>
                    <a:stretch>
                      <a:fillRect/>
                    </a:stretch>
                  </pic:blipFill>
                  <pic:spPr>
                    <a:xfrm>
                      <a:off x="0" y="0"/>
                      <a:ext cx="2833984" cy="1531034"/>
                    </a:xfrm>
                    <a:prstGeom prst="rect">
                      <a:avLst/>
                    </a:prstGeom>
                  </pic:spPr>
                </pic:pic>
              </a:graphicData>
            </a:graphic>
          </wp:inline>
        </w:drawing>
      </w:r>
    </w:p>
    <w:p w14:paraId="419BFEAF" w14:textId="2620617B" w:rsidR="008332AF" w:rsidRPr="00BE02F2" w:rsidRDefault="008332AF" w:rsidP="007E2422">
      <w:pPr>
        <w:pStyle w:val="CaptionTablesFigures"/>
      </w:pPr>
      <w:bookmarkStart w:id="0" w:name="_Ref535399292"/>
      <w:bookmarkStart w:id="1" w:name="_Ref404590288"/>
      <w:r w:rsidRPr="00BE02F2">
        <w:t xml:space="preserve">Figure </w:t>
      </w:r>
      <w:r w:rsidRPr="00BE02F2">
        <w:fldChar w:fldCharType="begin"/>
      </w:r>
      <w:r w:rsidRPr="00BE02F2">
        <w:instrText xml:space="preserve"> SEQ Figure \* ARABIC </w:instrText>
      </w:r>
      <w:r w:rsidRPr="00BE02F2">
        <w:fldChar w:fldCharType="separate"/>
      </w:r>
      <w:r w:rsidR="0045391A">
        <w:rPr>
          <w:noProof/>
        </w:rPr>
        <w:t>1</w:t>
      </w:r>
      <w:r w:rsidRPr="00BE02F2">
        <w:fldChar w:fldCharType="end"/>
      </w:r>
      <w:bookmarkEnd w:id="0"/>
      <w:r w:rsidRPr="00BE02F2">
        <w:t xml:space="preserve"> Activity Theory Triangle</w:t>
      </w:r>
      <w:bookmarkEnd w:id="1"/>
      <w:r w:rsidR="000340F5" w:rsidRPr="00BE02F2">
        <w:t xml:space="preserve"> </w:t>
      </w:r>
      <w:r w:rsidR="000340F5" w:rsidRPr="00BE02F2">
        <w:fldChar w:fldCharType="begin"/>
      </w:r>
      <w:r w:rsidR="00F26800">
        <w:instrText xml:space="preserve"> ADDIN EN.CITE &lt;EndNote&gt;&lt;Cite&gt;&lt;Author&gt;Mwanza&lt;/Author&gt;&lt;Year&gt;2005&lt;/Year&gt;&lt;RecNum&gt;203&lt;/RecNum&gt;&lt;DisplayText&gt;[6]&lt;/DisplayText&gt;&lt;record&gt;&lt;rec-number&gt;203&lt;/rec-number&gt;&lt;foreign-keys&gt;&lt;key app="EN" db-id="9xtszadf69pvz6es9xpv9e23x9pes0vf5p00" timestamp="1520514655"&gt;203&lt;/key&gt;&lt;/foreign-keys&gt;&lt;ref-type name="Journal Article"&gt;17&lt;/ref-type&gt;&lt;contributors&gt;&lt;authors&gt;&lt;author&gt;Mwanza, Daisy&lt;/author&gt;&lt;author&gt;Engeström, Yrjö&lt;/author&gt;&lt;/authors&gt;&lt;/contributors&gt;&lt;titles&gt;&lt;title&gt;Managing content in e-learning environments&lt;/title&gt;&lt;secondary-title&gt;British Journal of Educational Technology&lt;/secondary-title&gt;&lt;/titles&gt;&lt;periodical&gt;&lt;full-title&gt;British Journal of Educational Technology&lt;/full-title&gt;&lt;/periodical&gt;&lt;pages&gt;453-463&lt;/pages&gt;&lt;volume&gt;36&lt;/volume&gt;&lt;number&gt;3&lt;/number&gt;&lt;dates&gt;&lt;year&gt;2005&lt;/year&gt;&lt;/dates&gt;&lt;publisher&gt;Blackwell Publishing Ltd.&lt;/publisher&gt;&lt;isbn&gt;1467-8535&lt;/isbn&gt;&lt;urls&gt;&lt;related-urls&gt;&lt;url&gt;http://dx.doi.org/10.1111/j.1467-8535.2005.00479.x&lt;/url&gt;&lt;/related-urls&gt;&lt;/urls&gt;&lt;electronic-resource-num&gt;10.1111/j.1467-8535.2005.00479.x&lt;/electronic-resource-num&gt;&lt;/record&gt;&lt;/Cite&gt;&lt;/EndNote&gt;</w:instrText>
      </w:r>
      <w:r w:rsidR="000340F5" w:rsidRPr="00BE02F2">
        <w:fldChar w:fldCharType="separate"/>
      </w:r>
      <w:r w:rsidR="00F26800">
        <w:rPr>
          <w:noProof/>
        </w:rPr>
        <w:t>[6]</w:t>
      </w:r>
      <w:r w:rsidR="000340F5" w:rsidRPr="00BE02F2">
        <w:fldChar w:fldCharType="end"/>
      </w:r>
    </w:p>
    <w:p w14:paraId="18866807" w14:textId="77777777" w:rsidR="008332AF" w:rsidRPr="00BE02F2" w:rsidRDefault="008332AF" w:rsidP="008332AF"/>
    <w:p w14:paraId="77518FF5" w14:textId="77777777" w:rsidR="008332AF" w:rsidRPr="00BE02F2" w:rsidRDefault="008332AF" w:rsidP="008332AF">
      <w:r w:rsidRPr="00BE02F2">
        <w:t>The core elements, forming the AT triangle, can be described as follows:</w:t>
      </w:r>
    </w:p>
    <w:p w14:paraId="0F0CABC8" w14:textId="77777777" w:rsidR="008332AF" w:rsidRPr="00BE02F2" w:rsidRDefault="008332AF" w:rsidP="008F6431">
      <w:pPr>
        <w:pStyle w:val="Lijstalinea"/>
        <w:numPr>
          <w:ilvl w:val="0"/>
          <w:numId w:val="3"/>
        </w:numPr>
        <w:ind w:left="360"/>
      </w:pPr>
      <w:r w:rsidRPr="00BE02F2">
        <w:t xml:space="preserve">The subject is the participant in an (learning) activity, motivated towards a purpose or attainment of the object. </w:t>
      </w:r>
    </w:p>
    <w:p w14:paraId="7426E235" w14:textId="77777777" w:rsidR="008332AF" w:rsidRPr="00BE02F2" w:rsidRDefault="008332AF" w:rsidP="008F6431">
      <w:pPr>
        <w:pStyle w:val="Lijstalinea"/>
        <w:numPr>
          <w:ilvl w:val="0"/>
          <w:numId w:val="3"/>
        </w:numPr>
        <w:ind w:left="360"/>
      </w:pPr>
      <w:r w:rsidRPr="00BE02F2">
        <w:t xml:space="preserve">The object describes the problem space at which the subject is directing his or her attention. It is an invitation to interpretation, personal sense-making, and societal transformation. It is the raw material and future-oriented purpose of an activity. The object as such, represents the motives for a subject to engage in an activity. For example, an object can be a certain design task that the student has to complete. </w:t>
      </w:r>
    </w:p>
    <w:p w14:paraId="12C10132" w14:textId="77777777" w:rsidR="008332AF" w:rsidRPr="00BE02F2" w:rsidRDefault="008332AF" w:rsidP="008F6431">
      <w:pPr>
        <w:pStyle w:val="Lijstalinea"/>
        <w:numPr>
          <w:ilvl w:val="0"/>
          <w:numId w:val="3"/>
        </w:numPr>
        <w:ind w:left="360"/>
      </w:pPr>
      <w:r w:rsidRPr="00BE02F2">
        <w:t xml:space="preserve">The outcome is the consequences that the subject faces because of his/her actions driven by the object. This is the ‘ultimate goal’. In an educational setting, these outcomes could be passing the course, or getting a high grade. </w:t>
      </w:r>
    </w:p>
    <w:p w14:paraId="11578B0C" w14:textId="69FF17CF" w:rsidR="008332AF" w:rsidRPr="00BE02F2" w:rsidRDefault="008332AF" w:rsidP="008F6431">
      <w:pPr>
        <w:pStyle w:val="Lijstalinea"/>
        <w:numPr>
          <w:ilvl w:val="0"/>
          <w:numId w:val="3"/>
        </w:numPr>
        <w:ind w:left="360"/>
      </w:pPr>
      <w:r w:rsidRPr="00BE02F2">
        <w:t>Tools are socially shared cognitive and/or material resources that the subject can use to attain the object. For example, the student may use a certain design methodology or strategy</w:t>
      </w:r>
      <w:r w:rsidR="000340F5" w:rsidRPr="00BE02F2">
        <w:t xml:space="preserve"> </w:t>
      </w:r>
      <w:r w:rsidRPr="00BE02F2">
        <w:t>(cognitive resources)</w:t>
      </w:r>
      <w:r w:rsidR="000340F5" w:rsidRPr="00BE02F2">
        <w:t>,</w:t>
      </w:r>
      <w:r w:rsidRPr="00BE02F2">
        <w:t xml:space="preserve"> or a computer (material resource), for achieving the object. </w:t>
      </w:r>
    </w:p>
    <w:p w14:paraId="667E0175" w14:textId="77777777" w:rsidR="008332AF" w:rsidRPr="00BE02F2" w:rsidRDefault="008332AF" w:rsidP="008F6431">
      <w:pPr>
        <w:pStyle w:val="Lijstalinea"/>
        <w:numPr>
          <w:ilvl w:val="0"/>
          <w:numId w:val="3"/>
        </w:numPr>
        <w:ind w:left="360"/>
      </w:pPr>
      <w:r w:rsidRPr="00BE02F2">
        <w:t xml:space="preserve">Informal or formal rules regulate the subject’s participation while engaging in an activity. For example, an informal rule is that the student is not allowed to cheat. This is a rule that is not stated explicitly, but students know it is not allowed. A formal rule could be that the activity should be finished within two hours. </w:t>
      </w:r>
    </w:p>
    <w:p w14:paraId="0B0AC4E4" w14:textId="595072FA" w:rsidR="008332AF" w:rsidRPr="00BE02F2" w:rsidRDefault="008332AF" w:rsidP="008F6431">
      <w:pPr>
        <w:pStyle w:val="Lijstalinea"/>
        <w:numPr>
          <w:ilvl w:val="0"/>
          <w:numId w:val="3"/>
        </w:numPr>
        <w:ind w:left="360"/>
      </w:pPr>
      <w:r w:rsidRPr="00BE02F2">
        <w:t>The community is the group or organi</w:t>
      </w:r>
      <w:r w:rsidR="00252A7D">
        <w:t>s</w:t>
      </w:r>
      <w:r w:rsidRPr="00BE02F2">
        <w:t xml:space="preserve">ation that has a relation with the object and that can influence how the subject behaves. For example, </w:t>
      </w:r>
      <w:r w:rsidR="00575307">
        <w:t xml:space="preserve">in an </w:t>
      </w:r>
      <w:r w:rsidRPr="00BE02F2">
        <w:t xml:space="preserve">assignment in class, the </w:t>
      </w:r>
      <w:r w:rsidR="009A11F4" w:rsidRPr="00BE02F2">
        <w:t>lecturer</w:t>
      </w:r>
      <w:r w:rsidRPr="00BE02F2">
        <w:t xml:space="preserve"> belongs to the community. In addition, other students or groups that work on the same, or similar, assignment can be part of the community, as they can exert influence.</w:t>
      </w:r>
      <w:r w:rsidR="000D375D" w:rsidRPr="00BE02F2">
        <w:t xml:space="preserve"> </w:t>
      </w:r>
    </w:p>
    <w:p w14:paraId="37301B12" w14:textId="77777777" w:rsidR="008332AF" w:rsidRPr="00BE02F2" w:rsidRDefault="008332AF" w:rsidP="008F6431">
      <w:pPr>
        <w:pStyle w:val="Lijstalinea"/>
        <w:numPr>
          <w:ilvl w:val="0"/>
          <w:numId w:val="3"/>
        </w:numPr>
        <w:ind w:left="360"/>
      </w:pPr>
      <w:r w:rsidRPr="00BE02F2">
        <w:lastRenderedPageBreak/>
        <w:t>The division of labour is the shared participation responsibilities in the activity. For example, the subject/student makes appointments with his/her other team members about the division of tasks and responsibilities</w:t>
      </w:r>
    </w:p>
    <w:p w14:paraId="3C386A94" w14:textId="77777777" w:rsidR="008332AF" w:rsidRPr="00BE02F2" w:rsidRDefault="008332AF" w:rsidP="008F6431"/>
    <w:p w14:paraId="31CFA328" w14:textId="736E7272" w:rsidR="000A3166" w:rsidRDefault="008332AF" w:rsidP="008332AF">
      <w:r w:rsidRPr="00BE02F2">
        <w:t xml:space="preserve">The elements within the AT triangle are related to one another. For example, the subjects (S) could experience that they are not able to work with a specific tool, such as a software program (T). In that situation, there is a tension between S and T. </w:t>
      </w:r>
      <w:r w:rsidR="008F6431">
        <w:t xml:space="preserve">By studying the elements as well as the relationship between the </w:t>
      </w:r>
      <w:r w:rsidR="008F1990">
        <w:t>elements</w:t>
      </w:r>
      <w:r w:rsidR="008F6431">
        <w:t xml:space="preserve"> of the AT triangle, </w:t>
      </w:r>
      <w:r w:rsidRPr="00BE02F2">
        <w:t>groups can be analysed</w:t>
      </w:r>
      <w:r w:rsidR="008F6431">
        <w:t xml:space="preserve">, </w:t>
      </w:r>
      <w:r w:rsidRPr="00BE02F2">
        <w:t xml:space="preserve">as demonstrated by Zahedi et al. </w:t>
      </w:r>
      <w:r w:rsidRPr="00BE02F2">
        <w:fldChar w:fldCharType="begin"/>
      </w:r>
      <w:r w:rsidR="00F26800">
        <w:instrText xml:space="preserve"> ADDIN EN.CITE &lt;EndNote&gt;&lt;Cite ExcludeAuth="1"&gt;&lt;Author&gt;Zahedi&lt;/Author&gt;&lt;Year&gt;2017&lt;/Year&gt;&lt;RecNum&gt;208&lt;/RecNum&gt;&lt;DisplayText&gt;[7]&lt;/DisplayText&gt;&lt;record&gt;&lt;rec-number&gt;208&lt;/rec-number&gt;&lt;foreign-keys&gt;&lt;key app="EN" db-id="9xtszadf69pvz6es9xpv9e23x9pes0vf5p00" timestamp="1520516132"&gt;208&lt;/key&gt;&lt;/foreign-keys&gt;&lt;ref-type name="Journal Article"&gt;17&lt;/ref-type&gt;&lt;contributors&gt;&lt;authors&gt;&lt;author&gt;Zahedi, Mithra&lt;/author&gt;&lt;author&gt;Tessier, Virginie&lt;/author&gt;&lt;author&gt;Hawey, Dave&lt;/author&gt;&lt;/authors&gt;&lt;/contributors&gt;&lt;titles&gt;&lt;title&gt;Understanding Collaborative Design Through Activity Theory&lt;/title&gt;&lt;secondary-title&gt;The Design Journal&lt;/secondary-title&gt;&lt;/titles&gt;&lt;periodical&gt;&lt;full-title&gt;The Design Journal&lt;/full-title&gt;&lt;/periodical&gt;&lt;pages&gt;S4611-S4620&lt;/pages&gt;&lt;volume&gt;20&lt;/volume&gt;&lt;number&gt;sup1&lt;/number&gt;&lt;dates&gt;&lt;year&gt;2017&lt;/year&gt;&lt;pub-dates&gt;&lt;date&gt;2017/07/28&lt;/date&gt;&lt;/pub-dates&gt;&lt;/dates&gt;&lt;publisher&gt;Routledge&lt;/publisher&gt;&lt;isbn&gt;1460-6925&lt;/isbn&gt;&lt;urls&gt;&lt;related-urls&gt;&lt;url&gt;https://doi.org/10.1080/14606925.2017.1352958&lt;/url&gt;&lt;/related-urls&gt;&lt;/urls&gt;&lt;electronic-resource-num&gt;10.1080/14606925.2017.1352958&lt;/electronic-resource-num&gt;&lt;/record&gt;&lt;/Cite&gt;&lt;/EndNote&gt;</w:instrText>
      </w:r>
      <w:r w:rsidRPr="00BE02F2">
        <w:fldChar w:fldCharType="separate"/>
      </w:r>
      <w:r w:rsidR="00F26800">
        <w:rPr>
          <w:noProof/>
        </w:rPr>
        <w:t>[7]</w:t>
      </w:r>
      <w:r w:rsidRPr="00BE02F2">
        <w:fldChar w:fldCharType="end"/>
      </w:r>
      <w:r w:rsidRPr="00BE02F2">
        <w:t xml:space="preserve">. </w:t>
      </w:r>
      <w:r w:rsidR="00AA6D96" w:rsidRPr="00BE02F2">
        <w:t xml:space="preserve">According to AT, the tensions </w:t>
      </w:r>
      <w:r w:rsidR="00AA6D96">
        <w:t xml:space="preserve">within and </w:t>
      </w:r>
      <w:r w:rsidR="00AA6D96" w:rsidRPr="00BE02F2">
        <w:t xml:space="preserve">between the elements in the AT triangle can provide the leverage points </w:t>
      </w:r>
      <w:r w:rsidR="00AA6D96">
        <w:t>for improving learning</w:t>
      </w:r>
      <w:r w:rsidR="00AA6D96" w:rsidRPr="00BE02F2">
        <w:t>.</w:t>
      </w:r>
      <w:r w:rsidR="00AA6D96">
        <w:t xml:space="preserve"> For example, the lecturer can apply</w:t>
      </w:r>
      <w:r w:rsidR="00C01367">
        <w:t xml:space="preserve"> </w:t>
      </w:r>
      <w:r w:rsidR="00AA6D96">
        <w:t xml:space="preserve">interventions </w:t>
      </w:r>
      <w:r w:rsidR="00C01367">
        <w:t>to these tensions</w:t>
      </w:r>
      <w:r w:rsidR="00AA6D96">
        <w:t xml:space="preserve">. </w:t>
      </w:r>
      <w:r w:rsidR="00AA6D96" w:rsidRPr="00BE02F2">
        <w:t>An intervention can be defined as: “</w:t>
      </w:r>
      <w:r w:rsidR="00AA6D96" w:rsidRPr="00BE02F2">
        <w:rPr>
          <w:i/>
        </w:rPr>
        <w:t>A purposeful action by a human agent to create change</w:t>
      </w:r>
      <w:r w:rsidR="00AA6D96" w:rsidRPr="00BE02F2">
        <w:t xml:space="preserve">” </w:t>
      </w:r>
      <w:r w:rsidR="00AA6D96" w:rsidRPr="00BE02F2">
        <w:fldChar w:fldCharType="begin"/>
      </w:r>
      <w:r w:rsidR="00AA6D96">
        <w:instrText xml:space="preserve"> ADDIN EN.CITE &lt;EndNote&gt;&lt;Cite&gt;&lt;Author&gt;Midgley&lt;/Author&gt;&lt;Year&gt;2000&lt;/Year&gt;&lt;RecNum&gt;222&lt;/RecNum&gt;&lt;Pages&gt;113&lt;/Pages&gt;&lt;DisplayText&gt;[8]&lt;/DisplayText&gt;&lt;record&gt;&lt;rec-number&gt;222&lt;/rec-number&gt;&lt;foreign-keys&gt;&lt;key app="EN" db-id="9xtszadf69pvz6es9xpv9e23x9pes0vf5p00" timestamp="1529310734"&gt;222&lt;/key&gt;&lt;/foreign-keys&gt;&lt;ref-type name="Book"&gt;6&lt;/ref-type&gt;&lt;contributors&gt;&lt;authors&gt;&lt;author&gt;Midgley, G.&lt;/author&gt;&lt;/authors&gt;&lt;/contributors&gt;&lt;titles&gt;&lt;title&gt;Systemic intervention: Philosophy, methodology, and practice&lt;/title&gt;&lt;/titles&gt;&lt;dates&gt;&lt;year&gt;2000&lt;/year&gt;&lt;/dates&gt;&lt;pub-location&gt;New York, NY&lt;/pub-location&gt;&lt;publisher&gt;Kluwer&lt;/publisher&gt;&lt;urls&gt;&lt;/urls&gt;&lt;/record&gt;&lt;/Cite&gt;&lt;/EndNote&gt;</w:instrText>
      </w:r>
      <w:r w:rsidR="00AA6D96" w:rsidRPr="00BE02F2">
        <w:fldChar w:fldCharType="separate"/>
      </w:r>
      <w:r w:rsidR="00AA6D96">
        <w:rPr>
          <w:noProof/>
        </w:rPr>
        <w:t>[8]</w:t>
      </w:r>
      <w:r w:rsidR="00AA6D96" w:rsidRPr="00BE02F2">
        <w:fldChar w:fldCharType="end"/>
      </w:r>
      <w:r w:rsidR="00AA6D96" w:rsidRPr="00BE02F2">
        <w:t>.</w:t>
      </w:r>
      <w:r w:rsidR="00C01367">
        <w:t xml:space="preserve"> </w:t>
      </w:r>
      <w:r w:rsidRPr="00BE02F2">
        <w:t>AT adopts a perspective of learning that sees the members of the group as actively constructing meaning within a cultural-historical context. Although the group members are conceived of as active, it is the responsibility of the culturally more advanced facilitator (</w:t>
      </w:r>
      <w:r w:rsidR="000340F5" w:rsidRPr="00BE02F2">
        <w:t xml:space="preserve">e.g. </w:t>
      </w:r>
      <w:r w:rsidR="009A11F4" w:rsidRPr="00BE02F2">
        <w:t>lecturer</w:t>
      </w:r>
      <w:r w:rsidRPr="00BE02F2">
        <w:t>) to provide opportunities for acceptable constructions, and to create opportunities for groups to</w:t>
      </w:r>
      <w:r w:rsidR="006D2385">
        <w:t xml:space="preserve"> learn. </w:t>
      </w:r>
    </w:p>
    <w:p w14:paraId="0BE10DDA" w14:textId="347C1DF0" w:rsidR="0086318A" w:rsidRPr="00BE02F2" w:rsidRDefault="008332AF" w:rsidP="008332AF">
      <w:pPr>
        <w:pStyle w:val="Kop1"/>
        <w:rPr>
          <w:rFonts w:eastAsia="Arial Narrow"/>
          <w:shd w:val="clear" w:color="auto" w:fill="FFFFFF"/>
        </w:rPr>
      </w:pPr>
      <w:r w:rsidRPr="00BE02F2">
        <w:rPr>
          <w:rFonts w:eastAsia="Arial Narrow"/>
          <w:shd w:val="clear" w:color="auto" w:fill="FFFFFF"/>
        </w:rPr>
        <w:t>Methodology</w:t>
      </w:r>
    </w:p>
    <w:p w14:paraId="4190E590" w14:textId="3C08D728" w:rsidR="008332AF" w:rsidRDefault="008332AF" w:rsidP="008332AF">
      <w:pPr>
        <w:rPr>
          <w:shd w:val="clear" w:color="auto" w:fill="FFFFFF"/>
          <w:lang w:eastAsia="nl-NL"/>
        </w:rPr>
      </w:pPr>
      <w:r w:rsidRPr="00BE02F2">
        <w:t>This section describes how the research was carried out</w:t>
      </w:r>
      <w:r w:rsidR="00B870D6">
        <w:t xml:space="preserve">. </w:t>
      </w:r>
      <w:r w:rsidR="00DA63F1" w:rsidRPr="00BE02F2">
        <w:rPr>
          <w:shd w:val="clear" w:color="auto" w:fill="FFFFFF"/>
          <w:lang w:eastAsia="nl-NL"/>
        </w:rPr>
        <w:t xml:space="preserve">The research is a design-based research, aimed at systematically investigating problems, and designing and testing solutions to improve </w:t>
      </w:r>
      <w:r w:rsidR="009A11F4" w:rsidRPr="00BE02F2">
        <w:rPr>
          <w:shd w:val="clear" w:color="auto" w:fill="FFFFFF"/>
          <w:lang w:eastAsia="nl-NL"/>
        </w:rPr>
        <w:t>lecturers</w:t>
      </w:r>
      <w:r w:rsidR="00DA63F1" w:rsidRPr="00BE02F2">
        <w:rPr>
          <w:shd w:val="clear" w:color="auto" w:fill="FFFFFF"/>
          <w:lang w:eastAsia="nl-NL"/>
        </w:rPr>
        <w:t>’ actions and education.</w:t>
      </w:r>
    </w:p>
    <w:p w14:paraId="4B077EA5" w14:textId="77777777" w:rsidR="008332AF" w:rsidRPr="00BE02F2" w:rsidRDefault="008332AF" w:rsidP="008332AF">
      <w:pPr>
        <w:pStyle w:val="Kop2"/>
      </w:pPr>
      <w:r w:rsidRPr="00BE02F2">
        <w:t>Step 1 – Data collection</w:t>
      </w:r>
    </w:p>
    <w:p w14:paraId="51CB2E62" w14:textId="407FC480" w:rsidR="008332AF" w:rsidRDefault="008332AF" w:rsidP="001600C9">
      <w:r w:rsidRPr="00BE02F2">
        <w:t>As a first step</w:t>
      </w:r>
      <w:r w:rsidR="0065114A" w:rsidRPr="00BE02F2">
        <w:t xml:space="preserve">, </w:t>
      </w:r>
      <w:r w:rsidRPr="00BE02F2">
        <w:t xml:space="preserve">the groups </w:t>
      </w:r>
      <w:r w:rsidR="00AF44D8">
        <w:t>working</w:t>
      </w:r>
      <w:r w:rsidRPr="00BE02F2">
        <w:t xml:space="preserve"> on</w:t>
      </w:r>
      <w:r w:rsidR="00527B4F" w:rsidRPr="00BE02F2">
        <w:t xml:space="preserve"> an assignment</w:t>
      </w:r>
      <w:r w:rsidRPr="00BE02F2">
        <w:t xml:space="preserve"> </w:t>
      </w:r>
      <w:r w:rsidR="00AF44D8">
        <w:t>during a lecture</w:t>
      </w:r>
      <w:r w:rsidRPr="00BE02F2">
        <w:t xml:space="preserve"> were observed</w:t>
      </w:r>
      <w:r w:rsidR="00527B4F" w:rsidRPr="00BE02F2">
        <w:t xml:space="preserve">. This assignment was part of </w:t>
      </w:r>
      <w:r w:rsidR="00AF44D8">
        <w:t xml:space="preserve">a design course: </w:t>
      </w:r>
      <w:r w:rsidR="00527B4F" w:rsidRPr="00BE02F2">
        <w:t xml:space="preserve">Course I. </w:t>
      </w:r>
      <w:r w:rsidRPr="00BE02F2">
        <w:t xml:space="preserve">The purpose of this step was to understand what </w:t>
      </w:r>
      <w:r w:rsidR="00527B4F" w:rsidRPr="00BE02F2">
        <w:t>is</w:t>
      </w:r>
      <w:r w:rsidRPr="00BE02F2">
        <w:t xml:space="preserve"> going on in the groups when they are working on the assignment during lectures. </w:t>
      </w:r>
      <w:r w:rsidR="00527B4F" w:rsidRPr="00BE02F2">
        <w:t>T</w:t>
      </w:r>
      <w:r w:rsidRPr="00BE02F2">
        <w:t xml:space="preserve">he groups were only observed and there was minimal intervention by the </w:t>
      </w:r>
      <w:r w:rsidR="009A11F4" w:rsidRPr="00BE02F2">
        <w:t>lecturer</w:t>
      </w:r>
      <w:r w:rsidRPr="00BE02F2">
        <w:t xml:space="preserve">. Observations were done from the perspective of AT, meaning that the elements of the activity triangle were studied </w:t>
      </w:r>
      <w:r w:rsidRPr="00BE02F2">
        <w:fldChar w:fldCharType="begin"/>
      </w:r>
      <w:r w:rsidR="00F26800">
        <w:instrText xml:space="preserve"> ADDIN EN.CITE &lt;EndNote&gt;&lt;Cite&gt;&lt;Author&gt;Mwanza&lt;/Author&gt;&lt;Year&gt;2005&lt;/Year&gt;&lt;RecNum&gt;203&lt;/RecNum&gt;&lt;DisplayText&gt;[6]&lt;/DisplayText&gt;&lt;record&gt;&lt;rec-number&gt;203&lt;/rec-number&gt;&lt;foreign-keys&gt;&lt;key app="EN" db-id="9xtszadf69pvz6es9xpv9e23x9pes0vf5p00" timestamp="1520514655"&gt;203&lt;/key&gt;&lt;/foreign-keys&gt;&lt;ref-type name="Journal Article"&gt;17&lt;/ref-type&gt;&lt;contributors&gt;&lt;authors&gt;&lt;author&gt;Mwanza, Daisy&lt;/author&gt;&lt;author&gt;Engeström, Yrjö&lt;/author&gt;&lt;/authors&gt;&lt;/contributors&gt;&lt;titles&gt;&lt;title&gt;Managing content in e-learning environments&lt;/title&gt;&lt;secondary-title&gt;British Journal of Educational Technology&lt;/secondary-title&gt;&lt;/titles&gt;&lt;periodical&gt;&lt;full-title&gt;British Journal of Educational Technology&lt;/full-title&gt;&lt;/periodical&gt;&lt;pages&gt;453-463&lt;/pages&gt;&lt;volume&gt;36&lt;/volume&gt;&lt;number&gt;3&lt;/number&gt;&lt;dates&gt;&lt;year&gt;2005&lt;/year&gt;&lt;/dates&gt;&lt;publisher&gt;Blackwell Publishing Ltd.&lt;/publisher&gt;&lt;isbn&gt;1467-8535&lt;/isbn&gt;&lt;urls&gt;&lt;related-urls&gt;&lt;url&gt;http://dx.doi.org/10.1111/j.1467-8535.2005.00479.x&lt;/url&gt;&lt;/related-urls&gt;&lt;/urls&gt;&lt;electronic-resource-num&gt;10.1111/j.1467-8535.2005.00479.x&lt;/electronic-resource-num&gt;&lt;/record&gt;&lt;/Cite&gt;&lt;/EndNote&gt;</w:instrText>
      </w:r>
      <w:r w:rsidRPr="00BE02F2">
        <w:fldChar w:fldCharType="separate"/>
      </w:r>
      <w:r w:rsidR="00F26800">
        <w:rPr>
          <w:noProof/>
        </w:rPr>
        <w:t>[6]</w:t>
      </w:r>
      <w:r w:rsidRPr="00BE02F2">
        <w:fldChar w:fldCharType="end"/>
      </w:r>
      <w:r w:rsidRPr="00BE02F2">
        <w:t xml:space="preserve">. </w:t>
      </w:r>
      <w:r w:rsidR="00272FAB">
        <w:t xml:space="preserve">There was one lecturer involved as the main lecturer and another lecturer to assist with the video recordings. The main lecturer was also the researcher. </w:t>
      </w:r>
      <w:r w:rsidRPr="00BE02F2">
        <w:t xml:space="preserve">The data collection method used in this step was video recording. This method was used because this allowed the researcher to gather </w:t>
      </w:r>
      <w:r w:rsidR="00B870D6">
        <w:t xml:space="preserve">in-depth </w:t>
      </w:r>
      <w:r w:rsidRPr="00BE02F2">
        <w:t xml:space="preserve">data simultaneously on multiple groups. Five </w:t>
      </w:r>
      <w:r w:rsidR="00272FAB">
        <w:t xml:space="preserve">of the twelve </w:t>
      </w:r>
      <w:r w:rsidRPr="00BE02F2">
        <w:t>groups</w:t>
      </w:r>
      <w:r w:rsidR="00272FAB">
        <w:t xml:space="preserve"> in Course I</w:t>
      </w:r>
      <w:r w:rsidRPr="00BE02F2">
        <w:t xml:space="preserve"> were studied in this step. The groups were </w:t>
      </w:r>
      <w:r w:rsidR="007E2422" w:rsidRPr="00BE02F2">
        <w:t xml:space="preserve">first-year university Bachelor students and were randomly selected from all groups in Course I. </w:t>
      </w:r>
      <w:r w:rsidRPr="00BE02F2">
        <w:t xml:space="preserve">Each group consisted of 5 to 6 students. Analysis was done in keeping with the approach proposed by Zahedi et al. </w:t>
      </w:r>
      <w:r w:rsidRPr="00BE02F2">
        <w:fldChar w:fldCharType="begin"/>
      </w:r>
      <w:r w:rsidR="00F26800">
        <w:instrText xml:space="preserve"> ADDIN EN.CITE &lt;EndNote&gt;&lt;Cite ExcludeAuth="1"&gt;&lt;Author&gt;Zahedi&lt;/Author&gt;&lt;Year&gt;2017&lt;/Year&gt;&lt;RecNum&gt;208&lt;/RecNum&gt;&lt;DisplayText&gt;[7]&lt;/DisplayText&gt;&lt;record&gt;&lt;rec-number&gt;208&lt;/rec-number&gt;&lt;foreign-keys&gt;&lt;key app="EN" db-id="9xtszadf69pvz6es9xpv9e23x9pes0vf5p00" timestamp="1520516132"&gt;208&lt;/key&gt;&lt;/foreign-keys&gt;&lt;ref-type name="Journal Article"&gt;17&lt;/ref-type&gt;&lt;contributors&gt;&lt;authors&gt;&lt;author&gt;Zahedi, Mithra&lt;/author&gt;&lt;author&gt;Tessier, Virginie&lt;/author&gt;&lt;author&gt;Hawey, Dave&lt;/author&gt;&lt;/authors&gt;&lt;/contributors&gt;&lt;titles&gt;&lt;title&gt;Understanding Collaborative Design Through Activity Theory&lt;/title&gt;&lt;secondary-title&gt;The Design Journal&lt;/secondary-title&gt;&lt;/titles&gt;&lt;periodical&gt;&lt;full-title&gt;The Design Journal&lt;/full-title&gt;&lt;/periodical&gt;&lt;pages&gt;S4611-S4620&lt;/pages&gt;&lt;volume&gt;20&lt;/volume&gt;&lt;number&gt;sup1&lt;/number&gt;&lt;dates&gt;&lt;year&gt;2017&lt;/year&gt;&lt;pub-dates&gt;&lt;date&gt;2017/07/28&lt;/date&gt;&lt;/pub-dates&gt;&lt;/dates&gt;&lt;publisher&gt;Routledge&lt;/publisher&gt;&lt;isbn&gt;1460-6925&lt;/isbn&gt;&lt;urls&gt;&lt;related-urls&gt;&lt;url&gt;https://doi.org/10.1080/14606925.2017.1352958&lt;/url&gt;&lt;/related-urls&gt;&lt;/urls&gt;&lt;electronic-resource-num&gt;10.1080/14606925.2017.1352958&lt;/electronic-resource-num&gt;&lt;/record&gt;&lt;/Cite&gt;&lt;/EndNote&gt;</w:instrText>
      </w:r>
      <w:r w:rsidRPr="00BE02F2">
        <w:fldChar w:fldCharType="separate"/>
      </w:r>
      <w:r w:rsidR="00F26800">
        <w:rPr>
          <w:noProof/>
        </w:rPr>
        <w:t>[7]</w:t>
      </w:r>
      <w:r w:rsidRPr="00BE02F2">
        <w:fldChar w:fldCharType="end"/>
      </w:r>
      <w:r w:rsidRPr="00BE02F2">
        <w:t xml:space="preserve">. </w:t>
      </w:r>
      <w:r w:rsidR="007E2422" w:rsidRPr="00BE02F2">
        <w:t>B</w:t>
      </w:r>
      <w:r w:rsidRPr="00BE02F2">
        <w:t xml:space="preserve">ased on an analysis of speech and behaviour in the group, the recordings were tagged with the elements of the AT triangle, using the software program Atlas.ti. </w:t>
      </w:r>
    </w:p>
    <w:p w14:paraId="14AE6281" w14:textId="77777777" w:rsidR="001600C9" w:rsidRPr="00BE02F2" w:rsidRDefault="001600C9" w:rsidP="001600C9"/>
    <w:p w14:paraId="6934FD08" w14:textId="7E83B14D" w:rsidR="005811D5" w:rsidRPr="00BE02F2" w:rsidRDefault="008332AF" w:rsidP="005811D5">
      <w:r w:rsidRPr="00BE02F2">
        <w:t>After the AT framework was described and put in a timeline, the learning outcome</w:t>
      </w:r>
      <w:r w:rsidR="0098633E">
        <w:t>s</w:t>
      </w:r>
      <w:r w:rsidRPr="00BE02F2">
        <w:t xml:space="preserve"> w</w:t>
      </w:r>
      <w:r w:rsidR="0098633E">
        <w:t>ere</w:t>
      </w:r>
      <w:r w:rsidRPr="00BE02F2">
        <w:t xml:space="preserve"> studied. The outcome of the group assignment </w:t>
      </w:r>
      <w:r w:rsidR="00AF44D8">
        <w:t>is</w:t>
      </w:r>
      <w:r w:rsidRPr="00BE02F2">
        <w:t xml:space="preserve"> </w:t>
      </w:r>
      <w:r w:rsidR="00897010" w:rsidRPr="00BE02F2">
        <w:t xml:space="preserve">a FAST diagram (Function </w:t>
      </w:r>
      <w:r w:rsidR="00897010" w:rsidRPr="00BE02F2">
        <w:lastRenderedPageBreak/>
        <w:t>Analysis System Technique)</w:t>
      </w:r>
      <w:r w:rsidR="0098633E">
        <w:t xml:space="preserve">. </w:t>
      </w:r>
      <w:r w:rsidR="00C46CC9" w:rsidRPr="00BE02F2">
        <w:t xml:space="preserve">It represents the functionality of a system with boxes and arrows that connect the boxes. </w:t>
      </w:r>
      <w:r w:rsidRPr="00BE02F2">
        <w:t xml:space="preserve">This </w:t>
      </w:r>
      <w:r w:rsidR="00897010" w:rsidRPr="00BE02F2">
        <w:t xml:space="preserve">FAST </w:t>
      </w:r>
      <w:r w:rsidR="00AF44D8" w:rsidRPr="00BE02F2">
        <w:t>diagram</w:t>
      </w:r>
      <w:r w:rsidR="00AF44D8">
        <w:t>,</w:t>
      </w:r>
      <w:r w:rsidR="00AF44D8" w:rsidRPr="00BE02F2">
        <w:t xml:space="preserve"> </w:t>
      </w:r>
      <w:r w:rsidR="00AF44D8">
        <w:t xml:space="preserve">as developed by each group, </w:t>
      </w:r>
      <w:r w:rsidRPr="00BE02F2">
        <w:t>was assessed</w:t>
      </w:r>
      <w:r w:rsidR="0098633E">
        <w:t xml:space="preserve"> with an assessment protocol</w:t>
      </w:r>
      <w:r w:rsidRPr="00BE02F2">
        <w:t xml:space="preserve">. </w:t>
      </w:r>
      <w:r w:rsidR="000778CF" w:rsidRPr="00BE02F2">
        <w:t xml:space="preserve">The basis </w:t>
      </w:r>
      <w:r w:rsidR="0098633E">
        <w:t>for this protocol</w:t>
      </w:r>
      <w:r w:rsidRPr="00BE02F2">
        <w:t xml:space="preserve"> were the learning goals of the assignment. </w:t>
      </w:r>
      <w:r w:rsidR="005811D5" w:rsidRPr="00BE02F2">
        <w:t xml:space="preserve">The protocol </w:t>
      </w:r>
      <w:r w:rsidR="00AF44D8">
        <w:t>was</w:t>
      </w:r>
      <w:r w:rsidR="005811D5" w:rsidRPr="00BE02F2">
        <w:t xml:space="preserve"> validated with a peer-</w:t>
      </w:r>
      <w:r w:rsidR="009A11F4" w:rsidRPr="00BE02F2">
        <w:t>lecturer</w:t>
      </w:r>
      <w:r w:rsidR="005811D5" w:rsidRPr="00BE02F2">
        <w:t xml:space="preserve"> with knowledge of </w:t>
      </w:r>
      <w:r w:rsidR="0098633E">
        <w:t>FAST diagrams</w:t>
      </w:r>
      <w:r w:rsidR="00637069">
        <w:t>. This validation showed that the protocol is robust.</w:t>
      </w:r>
    </w:p>
    <w:p w14:paraId="2676B84B" w14:textId="77777777" w:rsidR="008332AF" w:rsidRPr="00BE02F2" w:rsidRDefault="008332AF" w:rsidP="008332AF">
      <w:pPr>
        <w:pStyle w:val="Kop2"/>
      </w:pPr>
      <w:r w:rsidRPr="00BE02F2">
        <w:t>Step 2 – Data analysis</w:t>
      </w:r>
    </w:p>
    <w:p w14:paraId="22160C8B" w14:textId="4F82A658" w:rsidR="008332AF" w:rsidRDefault="008332AF" w:rsidP="008332AF">
      <w:r w:rsidRPr="00BE02F2">
        <w:t xml:space="preserve">In the second step, the </w:t>
      </w:r>
      <w:r w:rsidR="00B761ED">
        <w:t xml:space="preserve">AT observations and scores of the </w:t>
      </w:r>
      <w:r w:rsidRPr="00BE02F2">
        <w:t>groups were compared to one another</w:t>
      </w:r>
      <w:r w:rsidR="002906E4" w:rsidRPr="00BE02F2">
        <w:t xml:space="preserve"> and differences and similarities were assessed</w:t>
      </w:r>
      <w:r w:rsidR="00653DFC" w:rsidRPr="00BE02F2">
        <w:t xml:space="preserve">. It was also tried to identify </w:t>
      </w:r>
      <w:r w:rsidR="002906E4" w:rsidRPr="00BE02F2">
        <w:t xml:space="preserve">patterns. </w:t>
      </w:r>
      <w:r w:rsidRPr="00BE02F2">
        <w:t xml:space="preserve">It is relevant to analyse </w:t>
      </w:r>
      <w:r w:rsidR="002906E4" w:rsidRPr="00BE02F2">
        <w:t>differences</w:t>
      </w:r>
      <w:r w:rsidR="00F66A48" w:rsidRPr="00BE02F2">
        <w:t xml:space="preserve">, </w:t>
      </w:r>
      <w:r w:rsidR="002906E4" w:rsidRPr="00BE02F2">
        <w:t>similarities</w:t>
      </w:r>
      <w:r w:rsidR="00F66A48" w:rsidRPr="00BE02F2">
        <w:t xml:space="preserve"> and patterns</w:t>
      </w:r>
      <w:r w:rsidRPr="00BE02F2">
        <w:t xml:space="preserve">, because this provides directions for interventions. </w:t>
      </w:r>
    </w:p>
    <w:p w14:paraId="42EBFFC5" w14:textId="2ED87D67" w:rsidR="008332AF" w:rsidRPr="00BE02F2" w:rsidRDefault="008332AF" w:rsidP="008332AF">
      <w:pPr>
        <w:pStyle w:val="Kop2"/>
      </w:pPr>
      <w:r w:rsidRPr="00BE02F2">
        <w:t>Step 3 – De</w:t>
      </w:r>
      <w:r w:rsidR="00411FA0">
        <w:t>veloping</w:t>
      </w:r>
      <w:r w:rsidRPr="00BE02F2">
        <w:t xml:space="preserve"> the </w:t>
      </w:r>
      <w:r w:rsidR="00AC502E" w:rsidRPr="00BE02F2">
        <w:t>interventions</w:t>
      </w:r>
    </w:p>
    <w:p w14:paraId="72C00925" w14:textId="66297B6D" w:rsidR="008332AF" w:rsidRPr="00BE02F2" w:rsidRDefault="008332AF" w:rsidP="008332AF">
      <w:r w:rsidRPr="00BE02F2">
        <w:t>In the third step</w:t>
      </w:r>
      <w:r w:rsidR="00F66A48" w:rsidRPr="00BE02F2">
        <w:t xml:space="preserve">, </w:t>
      </w:r>
      <w:r w:rsidR="008A3FA7">
        <w:t xml:space="preserve">the </w:t>
      </w:r>
      <w:r w:rsidRPr="00BE02F2">
        <w:t>interventions w</w:t>
      </w:r>
      <w:r w:rsidR="008A3FA7">
        <w:t>ere</w:t>
      </w:r>
      <w:r w:rsidRPr="00BE02F2">
        <w:t xml:space="preserve"> d</w:t>
      </w:r>
      <w:r w:rsidR="00411FA0">
        <w:t>eveloped</w:t>
      </w:r>
      <w:r w:rsidRPr="00BE02F2">
        <w:t xml:space="preserve">, based on the findings of the previous steps. This was a creative step in the research and could not be completely designed in advance, as it was not known beforehand what was exactly going on in the groups. The </w:t>
      </w:r>
      <w:r w:rsidR="00AC502E" w:rsidRPr="00BE02F2">
        <w:t>interventions</w:t>
      </w:r>
      <w:r w:rsidRPr="00BE02F2">
        <w:t xml:space="preserve"> </w:t>
      </w:r>
      <w:r w:rsidR="00051034" w:rsidRPr="00BE02F2">
        <w:t>were</w:t>
      </w:r>
      <w:r w:rsidRPr="00BE02F2">
        <w:t xml:space="preserve"> discussed with experts and </w:t>
      </w:r>
      <w:r w:rsidR="009A11F4" w:rsidRPr="00BE02F2">
        <w:t>lecturers</w:t>
      </w:r>
      <w:r w:rsidRPr="00BE02F2">
        <w:t xml:space="preserve"> to validate </w:t>
      </w:r>
      <w:r w:rsidR="00252A7D">
        <w:t>them.</w:t>
      </w:r>
    </w:p>
    <w:p w14:paraId="4C2BD5D0" w14:textId="46D2DE8C" w:rsidR="008332AF" w:rsidRPr="00BE02F2" w:rsidRDefault="008332AF" w:rsidP="008332AF">
      <w:pPr>
        <w:pStyle w:val="Kop2"/>
      </w:pPr>
      <w:r w:rsidRPr="00BE02F2">
        <w:t xml:space="preserve">Step 4 – Applying </w:t>
      </w:r>
      <w:r w:rsidR="00B761ED">
        <w:t>and</w:t>
      </w:r>
      <w:r w:rsidR="00AA43AC">
        <w:t xml:space="preserve"> evaluating</w:t>
      </w:r>
      <w:r w:rsidR="00B761ED">
        <w:t xml:space="preserve"> the interventions</w:t>
      </w:r>
    </w:p>
    <w:p w14:paraId="59A797BD" w14:textId="64A1773A" w:rsidR="001600C9" w:rsidRPr="00BE02F2" w:rsidRDefault="008332AF" w:rsidP="00770F65">
      <w:r w:rsidRPr="00BE02F2">
        <w:t xml:space="preserve">In the fourth step, the </w:t>
      </w:r>
      <w:r w:rsidR="00AC502E" w:rsidRPr="00BE02F2">
        <w:t>interventions</w:t>
      </w:r>
      <w:r w:rsidR="001600C9">
        <w:t xml:space="preserve"> were </w:t>
      </w:r>
      <w:r w:rsidRPr="00BE02F2">
        <w:t xml:space="preserve">applied and </w:t>
      </w:r>
      <w:r w:rsidR="00AA43AC">
        <w:t>evaluated</w:t>
      </w:r>
      <w:r w:rsidRPr="00BE02F2">
        <w:t xml:space="preserve"> in another </w:t>
      </w:r>
      <w:r w:rsidR="00AF44D8">
        <w:t xml:space="preserve">design </w:t>
      </w:r>
      <w:r w:rsidRPr="00BE02F2">
        <w:t>course</w:t>
      </w:r>
      <w:r w:rsidR="00AF44D8">
        <w:t xml:space="preserve">: </w:t>
      </w:r>
      <w:r w:rsidR="003B08E9" w:rsidRPr="00BE02F2">
        <w:t>Course II</w:t>
      </w:r>
      <w:r w:rsidRPr="00BE02F2">
        <w:t xml:space="preserve">. The </w:t>
      </w:r>
      <w:r w:rsidR="001600C9">
        <w:t>interventions were</w:t>
      </w:r>
      <w:r w:rsidRPr="00BE02F2">
        <w:t xml:space="preserve"> applied to eight groups</w:t>
      </w:r>
      <w:r w:rsidR="00252A7D">
        <w:t xml:space="preserve"> (all groups in the course)</w:t>
      </w:r>
      <w:r w:rsidRPr="00BE02F2">
        <w:t xml:space="preserve">. Each group consisted of 5 to 6 students. The students in </w:t>
      </w:r>
      <w:r w:rsidR="003B08E9" w:rsidRPr="00BE02F2">
        <w:t>these groups</w:t>
      </w:r>
      <w:r w:rsidRPr="00BE02F2">
        <w:t xml:space="preserve"> got a similar assignment as those in </w:t>
      </w:r>
      <w:r w:rsidR="003B08E9" w:rsidRPr="00BE02F2">
        <w:t>Course I</w:t>
      </w:r>
      <w:r w:rsidRPr="00BE02F2">
        <w:t xml:space="preserve"> – to produce a diagram – but for different projects. The reason for using different projects was that the </w:t>
      </w:r>
      <w:r w:rsidR="00AC502E" w:rsidRPr="00BE02F2">
        <w:t>interventions</w:t>
      </w:r>
      <w:r w:rsidRPr="00BE02F2">
        <w:t xml:space="preserve"> ha</w:t>
      </w:r>
      <w:r w:rsidR="00323BC7">
        <w:t>ve</w:t>
      </w:r>
      <w:r w:rsidRPr="00BE02F2">
        <w:t xml:space="preserve"> to be useful in other courses as well.</w:t>
      </w:r>
      <w:r w:rsidR="003B08E9" w:rsidRPr="00BE02F2">
        <w:t xml:space="preserve"> Nevertheless, the method </w:t>
      </w:r>
      <w:r w:rsidR="00AF44D8">
        <w:t xml:space="preserve">and underlying theory </w:t>
      </w:r>
      <w:r w:rsidR="003B08E9" w:rsidRPr="00BE02F2">
        <w:t>of the assignment remained the same</w:t>
      </w:r>
      <w:r w:rsidR="00AF44D8">
        <w:t>. Only t</w:t>
      </w:r>
      <w:r w:rsidR="003B08E9" w:rsidRPr="00BE02F2">
        <w:t>he project to which the method should be applied was different.</w:t>
      </w:r>
    </w:p>
    <w:p w14:paraId="53DD0AC8" w14:textId="27B846F8" w:rsidR="00C55E4D" w:rsidRPr="00BE02F2" w:rsidRDefault="001716D3" w:rsidP="00962BE8">
      <w:pPr>
        <w:pStyle w:val="Kop1"/>
        <w:rPr>
          <w:rFonts w:cs="Arial"/>
        </w:rPr>
      </w:pPr>
      <w:r>
        <w:rPr>
          <w:rFonts w:cs="Arial"/>
        </w:rPr>
        <w:t>Data collection and analysis</w:t>
      </w:r>
    </w:p>
    <w:p w14:paraId="308F74CD" w14:textId="1CD09FA1" w:rsidR="001716D3" w:rsidRDefault="00D460A2" w:rsidP="00D460A2">
      <w:r w:rsidRPr="00BE02F2">
        <w:t xml:space="preserve">In this section, the </w:t>
      </w:r>
      <w:r w:rsidR="001716D3">
        <w:t xml:space="preserve">results of step 1 and 2 of the research approach are described. This concerns data collection and data analysis of the groups in Course I. </w:t>
      </w:r>
      <w:r w:rsidR="00B80926">
        <w:t>First, the learning outcomes of the groups are presented, followed by the problems that affected learning outcomes of these groups.</w:t>
      </w:r>
    </w:p>
    <w:p w14:paraId="20358971" w14:textId="180C072B" w:rsidR="001716D3" w:rsidRDefault="001716D3" w:rsidP="001716D3">
      <w:pPr>
        <w:pStyle w:val="Kop2"/>
      </w:pPr>
      <w:r>
        <w:t>Learning outcomes</w:t>
      </w:r>
    </w:p>
    <w:p w14:paraId="5D3E947C" w14:textId="0B20FB70" w:rsidR="003132D2" w:rsidRDefault="001716D3" w:rsidP="00180DF8">
      <w:r>
        <w:t xml:space="preserve">The learning outcomes of the groups in Course I are </w:t>
      </w:r>
      <w:r w:rsidRPr="003132D2">
        <w:t xml:space="preserve">presented </w:t>
      </w:r>
      <w:r w:rsidR="003132D2" w:rsidRPr="003132D2">
        <w:t>in</w:t>
      </w:r>
      <w:r w:rsidR="00E93322">
        <w:t xml:space="preserve"> </w:t>
      </w:r>
      <w:r w:rsidR="00E93322">
        <w:fldChar w:fldCharType="begin"/>
      </w:r>
      <w:r w:rsidR="00E93322">
        <w:instrText xml:space="preserve"> REF _Ref46841925 \h </w:instrText>
      </w:r>
      <w:r w:rsidR="00E93322">
        <w:fldChar w:fldCharType="separate"/>
      </w:r>
      <w:r w:rsidR="0045391A">
        <w:t xml:space="preserve">Table </w:t>
      </w:r>
      <w:r w:rsidR="0045391A">
        <w:rPr>
          <w:noProof/>
        </w:rPr>
        <w:t>1</w:t>
      </w:r>
      <w:r w:rsidR="00E93322">
        <w:fldChar w:fldCharType="end"/>
      </w:r>
      <w:r w:rsidR="00977664">
        <w:t xml:space="preserve">. </w:t>
      </w:r>
      <w:r w:rsidRPr="003132D2">
        <w:t>The</w:t>
      </w:r>
      <w:r>
        <w:t xml:space="preserve"> groups </w:t>
      </w:r>
      <w:r w:rsidR="00B80926">
        <w:t xml:space="preserve">that were </w:t>
      </w:r>
      <w:r w:rsidR="00047ED5">
        <w:t xml:space="preserve">analysed </w:t>
      </w:r>
      <w:r>
        <w:t>were randomly selected</w:t>
      </w:r>
      <w:r w:rsidR="00B80926">
        <w:t>. Th</w:t>
      </w:r>
      <w:r w:rsidR="00047ED5">
        <w:t xml:space="preserve">e numbers of the groups </w:t>
      </w:r>
      <w:r w:rsidR="00B80926">
        <w:t>were</w:t>
      </w:r>
      <w:r w:rsidR="00047ED5">
        <w:t xml:space="preserve"> those given in the course.</w:t>
      </w:r>
      <w:r w:rsidR="00B80926">
        <w:t xml:space="preserve"> The learning outcome, or score, is the number of points that the groups received for the FAST diagram that they produced. This score was determined with the use of an assessment protocol. Scores range from -7, to +7.</w:t>
      </w:r>
      <w:r w:rsidR="00F55630">
        <w:t xml:space="preserve"> </w:t>
      </w:r>
      <w:r w:rsidR="006563F5">
        <w:t>In the next section, the problems that affected the learning outcomes are described.</w:t>
      </w:r>
    </w:p>
    <w:p w14:paraId="60529E6C" w14:textId="77777777" w:rsidR="000B1A10" w:rsidRDefault="000B1A10" w:rsidP="00180DF8"/>
    <w:p w14:paraId="492A38D7" w14:textId="73D35A95" w:rsidR="00977664" w:rsidRDefault="00977664" w:rsidP="00180DF8"/>
    <w:p w14:paraId="721E1A2E" w14:textId="0F5B781A" w:rsidR="000B1A10" w:rsidRPr="00A761F8" w:rsidRDefault="000B1A10" w:rsidP="000B1A10">
      <w:pPr>
        <w:pStyle w:val="CaptionTablesFigures"/>
        <w:rPr>
          <w:sz w:val="24"/>
          <w:szCs w:val="24"/>
        </w:rPr>
      </w:pPr>
      <w:bookmarkStart w:id="2" w:name="_Ref46841925"/>
      <w:r w:rsidRPr="00A761F8">
        <w:rPr>
          <w:sz w:val="24"/>
          <w:szCs w:val="24"/>
        </w:rPr>
        <w:lastRenderedPageBreak/>
        <w:t xml:space="preserve">Table </w:t>
      </w:r>
      <w:r w:rsidRPr="00A761F8">
        <w:rPr>
          <w:sz w:val="24"/>
          <w:szCs w:val="24"/>
        </w:rPr>
        <w:fldChar w:fldCharType="begin"/>
      </w:r>
      <w:r w:rsidRPr="00A761F8">
        <w:rPr>
          <w:sz w:val="24"/>
          <w:szCs w:val="24"/>
        </w:rPr>
        <w:instrText xml:space="preserve"> SEQ Table \* ARABIC </w:instrText>
      </w:r>
      <w:r w:rsidRPr="00A761F8">
        <w:rPr>
          <w:sz w:val="24"/>
          <w:szCs w:val="24"/>
        </w:rPr>
        <w:fldChar w:fldCharType="separate"/>
      </w:r>
      <w:r w:rsidR="0045391A" w:rsidRPr="00A761F8">
        <w:rPr>
          <w:noProof/>
          <w:sz w:val="24"/>
          <w:szCs w:val="24"/>
        </w:rPr>
        <w:t>1</w:t>
      </w:r>
      <w:r w:rsidRPr="00A761F8">
        <w:rPr>
          <w:sz w:val="24"/>
          <w:szCs w:val="24"/>
        </w:rPr>
        <w:fldChar w:fldCharType="end"/>
      </w:r>
      <w:bookmarkEnd w:id="2"/>
      <w:r w:rsidRPr="00A761F8">
        <w:rPr>
          <w:sz w:val="24"/>
          <w:szCs w:val="24"/>
        </w:rPr>
        <w:t xml:space="preserve"> Learning outcomes of the groups in Course I</w:t>
      </w:r>
    </w:p>
    <w:tbl>
      <w:tblPr>
        <w:tblStyle w:val="Tabelraste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5"/>
        <w:gridCol w:w="2268"/>
      </w:tblGrid>
      <w:tr w:rsidR="00977664" w:rsidRPr="00A761F8" w14:paraId="7FD255ED" w14:textId="77777777" w:rsidTr="00977664">
        <w:trPr>
          <w:jc w:val="center"/>
        </w:trPr>
        <w:tc>
          <w:tcPr>
            <w:tcW w:w="4673" w:type="dxa"/>
            <w:gridSpan w:val="2"/>
            <w:shd w:val="pct40" w:color="auto" w:fill="auto"/>
          </w:tcPr>
          <w:p w14:paraId="1B49F896" w14:textId="77777777" w:rsidR="00977664" w:rsidRPr="00A761F8" w:rsidRDefault="00977664" w:rsidP="00C02C8F">
            <w:pPr>
              <w:jc w:val="center"/>
              <w:rPr>
                <w:szCs w:val="24"/>
              </w:rPr>
            </w:pPr>
            <w:r w:rsidRPr="00A761F8">
              <w:rPr>
                <w:b/>
                <w:szCs w:val="24"/>
              </w:rPr>
              <w:t>Course I – no intervention</w:t>
            </w:r>
          </w:p>
        </w:tc>
      </w:tr>
      <w:tr w:rsidR="00977664" w:rsidRPr="00A761F8" w14:paraId="655AD6DF" w14:textId="77777777" w:rsidTr="00977664">
        <w:trPr>
          <w:jc w:val="center"/>
        </w:trPr>
        <w:tc>
          <w:tcPr>
            <w:tcW w:w="2405" w:type="dxa"/>
          </w:tcPr>
          <w:p w14:paraId="25DBF481" w14:textId="77777777" w:rsidR="00977664" w:rsidRPr="00A761F8" w:rsidRDefault="00977664" w:rsidP="00C02C8F">
            <w:pPr>
              <w:jc w:val="center"/>
              <w:rPr>
                <w:szCs w:val="24"/>
              </w:rPr>
            </w:pPr>
            <w:r w:rsidRPr="00A761F8">
              <w:rPr>
                <w:b/>
                <w:szCs w:val="24"/>
              </w:rPr>
              <w:t>Group</w:t>
            </w:r>
          </w:p>
        </w:tc>
        <w:tc>
          <w:tcPr>
            <w:tcW w:w="2268" w:type="dxa"/>
          </w:tcPr>
          <w:p w14:paraId="023FD1A8" w14:textId="77777777" w:rsidR="00977664" w:rsidRPr="00A761F8" w:rsidRDefault="00977664" w:rsidP="00C02C8F">
            <w:pPr>
              <w:jc w:val="center"/>
              <w:rPr>
                <w:szCs w:val="24"/>
              </w:rPr>
            </w:pPr>
            <w:r w:rsidRPr="00A761F8">
              <w:rPr>
                <w:b/>
                <w:szCs w:val="24"/>
              </w:rPr>
              <w:t>Score</w:t>
            </w:r>
          </w:p>
        </w:tc>
      </w:tr>
      <w:tr w:rsidR="00977664" w:rsidRPr="00A761F8" w14:paraId="5B5C70C8" w14:textId="77777777" w:rsidTr="00977664">
        <w:trPr>
          <w:jc w:val="center"/>
        </w:trPr>
        <w:tc>
          <w:tcPr>
            <w:tcW w:w="2405" w:type="dxa"/>
          </w:tcPr>
          <w:p w14:paraId="68F215BC" w14:textId="77777777" w:rsidR="00977664" w:rsidRPr="00A761F8" w:rsidRDefault="00977664" w:rsidP="00C02C8F">
            <w:pPr>
              <w:jc w:val="center"/>
              <w:rPr>
                <w:bCs/>
                <w:szCs w:val="24"/>
              </w:rPr>
            </w:pPr>
            <w:r w:rsidRPr="00A761F8">
              <w:rPr>
                <w:bCs/>
                <w:szCs w:val="24"/>
              </w:rPr>
              <w:t>4</w:t>
            </w:r>
          </w:p>
        </w:tc>
        <w:tc>
          <w:tcPr>
            <w:tcW w:w="2268" w:type="dxa"/>
          </w:tcPr>
          <w:p w14:paraId="2A38AD48" w14:textId="77777777" w:rsidR="00977664" w:rsidRPr="00A761F8" w:rsidRDefault="00977664" w:rsidP="00C02C8F">
            <w:pPr>
              <w:jc w:val="center"/>
              <w:rPr>
                <w:bCs/>
                <w:szCs w:val="24"/>
              </w:rPr>
            </w:pPr>
            <w:r w:rsidRPr="00A761F8">
              <w:rPr>
                <w:bCs/>
                <w:szCs w:val="24"/>
              </w:rPr>
              <w:t>3</w:t>
            </w:r>
          </w:p>
        </w:tc>
      </w:tr>
      <w:tr w:rsidR="00977664" w:rsidRPr="00A761F8" w14:paraId="4138D388" w14:textId="77777777" w:rsidTr="00977664">
        <w:trPr>
          <w:jc w:val="center"/>
        </w:trPr>
        <w:tc>
          <w:tcPr>
            <w:tcW w:w="2405" w:type="dxa"/>
          </w:tcPr>
          <w:p w14:paraId="045F8965" w14:textId="77777777" w:rsidR="00977664" w:rsidRPr="00A761F8" w:rsidRDefault="00977664" w:rsidP="00C02C8F">
            <w:pPr>
              <w:jc w:val="center"/>
              <w:rPr>
                <w:bCs/>
                <w:szCs w:val="24"/>
              </w:rPr>
            </w:pPr>
            <w:r w:rsidRPr="00A761F8">
              <w:rPr>
                <w:bCs/>
                <w:szCs w:val="24"/>
              </w:rPr>
              <w:t>5</w:t>
            </w:r>
          </w:p>
        </w:tc>
        <w:tc>
          <w:tcPr>
            <w:tcW w:w="2268" w:type="dxa"/>
          </w:tcPr>
          <w:p w14:paraId="602687E9" w14:textId="77777777" w:rsidR="00977664" w:rsidRPr="00A761F8" w:rsidRDefault="00977664" w:rsidP="00C02C8F">
            <w:pPr>
              <w:jc w:val="center"/>
              <w:rPr>
                <w:bCs/>
                <w:szCs w:val="24"/>
              </w:rPr>
            </w:pPr>
            <w:r w:rsidRPr="00A761F8">
              <w:rPr>
                <w:bCs/>
                <w:szCs w:val="24"/>
              </w:rPr>
              <w:t>0</w:t>
            </w:r>
          </w:p>
        </w:tc>
      </w:tr>
      <w:tr w:rsidR="00977664" w:rsidRPr="00A761F8" w14:paraId="03AF13FA" w14:textId="77777777" w:rsidTr="00977664">
        <w:trPr>
          <w:jc w:val="center"/>
        </w:trPr>
        <w:tc>
          <w:tcPr>
            <w:tcW w:w="2405" w:type="dxa"/>
          </w:tcPr>
          <w:p w14:paraId="3C17D2BC" w14:textId="77777777" w:rsidR="00977664" w:rsidRPr="00A761F8" w:rsidRDefault="00977664" w:rsidP="00C02C8F">
            <w:pPr>
              <w:jc w:val="center"/>
              <w:rPr>
                <w:bCs/>
                <w:szCs w:val="24"/>
              </w:rPr>
            </w:pPr>
            <w:r w:rsidRPr="00A761F8">
              <w:rPr>
                <w:bCs/>
                <w:szCs w:val="24"/>
              </w:rPr>
              <w:t>6</w:t>
            </w:r>
          </w:p>
        </w:tc>
        <w:tc>
          <w:tcPr>
            <w:tcW w:w="2268" w:type="dxa"/>
          </w:tcPr>
          <w:p w14:paraId="78FC5753" w14:textId="77777777" w:rsidR="00977664" w:rsidRPr="00A761F8" w:rsidRDefault="00977664" w:rsidP="00C02C8F">
            <w:pPr>
              <w:jc w:val="center"/>
              <w:rPr>
                <w:bCs/>
                <w:szCs w:val="24"/>
              </w:rPr>
            </w:pPr>
            <w:r w:rsidRPr="00A761F8">
              <w:rPr>
                <w:bCs/>
                <w:szCs w:val="24"/>
              </w:rPr>
              <w:t>-2</w:t>
            </w:r>
          </w:p>
        </w:tc>
      </w:tr>
      <w:tr w:rsidR="00977664" w:rsidRPr="00A761F8" w14:paraId="214D67A1" w14:textId="77777777" w:rsidTr="00977664">
        <w:trPr>
          <w:jc w:val="center"/>
        </w:trPr>
        <w:tc>
          <w:tcPr>
            <w:tcW w:w="2405" w:type="dxa"/>
          </w:tcPr>
          <w:p w14:paraId="6E9E0501" w14:textId="77777777" w:rsidR="00977664" w:rsidRPr="00A761F8" w:rsidRDefault="00977664" w:rsidP="00C02C8F">
            <w:pPr>
              <w:jc w:val="center"/>
              <w:rPr>
                <w:bCs/>
                <w:szCs w:val="24"/>
              </w:rPr>
            </w:pPr>
            <w:r w:rsidRPr="00A761F8">
              <w:rPr>
                <w:bCs/>
                <w:szCs w:val="24"/>
              </w:rPr>
              <w:t>7</w:t>
            </w:r>
          </w:p>
        </w:tc>
        <w:tc>
          <w:tcPr>
            <w:tcW w:w="2268" w:type="dxa"/>
          </w:tcPr>
          <w:p w14:paraId="3F32F77E" w14:textId="77777777" w:rsidR="00977664" w:rsidRPr="00A761F8" w:rsidRDefault="00977664" w:rsidP="00C02C8F">
            <w:pPr>
              <w:jc w:val="center"/>
              <w:rPr>
                <w:bCs/>
                <w:szCs w:val="24"/>
              </w:rPr>
            </w:pPr>
            <w:r w:rsidRPr="00A761F8">
              <w:rPr>
                <w:bCs/>
                <w:szCs w:val="24"/>
              </w:rPr>
              <w:t>4</w:t>
            </w:r>
          </w:p>
        </w:tc>
      </w:tr>
      <w:tr w:rsidR="00977664" w:rsidRPr="00A761F8" w14:paraId="0D238C1E" w14:textId="77777777" w:rsidTr="00977664">
        <w:trPr>
          <w:jc w:val="center"/>
        </w:trPr>
        <w:tc>
          <w:tcPr>
            <w:tcW w:w="2405" w:type="dxa"/>
          </w:tcPr>
          <w:p w14:paraId="318D5093" w14:textId="77777777" w:rsidR="00977664" w:rsidRPr="00A761F8" w:rsidRDefault="00977664" w:rsidP="00C02C8F">
            <w:pPr>
              <w:jc w:val="center"/>
              <w:rPr>
                <w:bCs/>
                <w:szCs w:val="24"/>
              </w:rPr>
            </w:pPr>
            <w:r w:rsidRPr="00A761F8">
              <w:rPr>
                <w:bCs/>
                <w:szCs w:val="24"/>
              </w:rPr>
              <w:t>10</w:t>
            </w:r>
          </w:p>
        </w:tc>
        <w:tc>
          <w:tcPr>
            <w:tcW w:w="2268" w:type="dxa"/>
          </w:tcPr>
          <w:p w14:paraId="1558DD03" w14:textId="77777777" w:rsidR="00977664" w:rsidRPr="00A761F8" w:rsidRDefault="00977664" w:rsidP="00977664">
            <w:pPr>
              <w:keepNext/>
              <w:jc w:val="center"/>
              <w:rPr>
                <w:bCs/>
                <w:szCs w:val="24"/>
              </w:rPr>
            </w:pPr>
            <w:r w:rsidRPr="00A761F8">
              <w:rPr>
                <w:bCs/>
                <w:szCs w:val="24"/>
              </w:rPr>
              <w:t>1</w:t>
            </w:r>
          </w:p>
        </w:tc>
      </w:tr>
    </w:tbl>
    <w:p w14:paraId="250AAC11" w14:textId="77777777" w:rsidR="00174364" w:rsidRDefault="00174364" w:rsidP="00977664">
      <w:pPr>
        <w:pStyle w:val="CaptionTablesFigures"/>
      </w:pPr>
    </w:p>
    <w:p w14:paraId="76ABF30B" w14:textId="7FD629F3" w:rsidR="00E4253F" w:rsidRPr="00BE02F2" w:rsidRDefault="00B80926" w:rsidP="00C05C4C">
      <w:pPr>
        <w:pStyle w:val="Kop2"/>
      </w:pPr>
      <w:r>
        <w:t xml:space="preserve">Problem 1: </w:t>
      </w:r>
      <w:r w:rsidR="00E4253F" w:rsidRPr="00BE02F2">
        <w:t xml:space="preserve">Lack of </w:t>
      </w:r>
      <w:r>
        <w:t>understanding</w:t>
      </w:r>
    </w:p>
    <w:p w14:paraId="442737F1" w14:textId="245335E3" w:rsidR="00E4253F" w:rsidRPr="00BE02F2" w:rsidRDefault="004176F6" w:rsidP="008332AF">
      <w:pPr>
        <w:rPr>
          <w:lang w:eastAsia="de-DE"/>
        </w:rPr>
      </w:pPr>
      <w:r w:rsidRPr="00BE02F2">
        <w:t xml:space="preserve">The </w:t>
      </w:r>
      <w:r w:rsidR="009A11F4" w:rsidRPr="00BE02F2">
        <w:t>lecturer</w:t>
      </w:r>
      <w:r w:rsidRPr="00BE02F2">
        <w:t xml:space="preserve"> ha</w:t>
      </w:r>
      <w:r w:rsidR="00753F42" w:rsidRPr="00BE02F2">
        <w:t>d</w:t>
      </w:r>
      <w:r w:rsidRPr="00BE02F2">
        <w:t xml:space="preserve"> developed the assignment for </w:t>
      </w:r>
      <w:r w:rsidR="00753F42" w:rsidRPr="00BE02F2">
        <w:t>Course I</w:t>
      </w:r>
      <w:r w:rsidRPr="00BE02F2">
        <w:t xml:space="preserve"> </w:t>
      </w:r>
      <w:r w:rsidR="00D501B5" w:rsidRPr="00BE02F2">
        <w:t xml:space="preserve">to his best knowing. This means that the lecturer </w:t>
      </w:r>
      <w:r w:rsidR="006F1664" w:rsidRPr="00BE02F2">
        <w:t>estimated</w:t>
      </w:r>
      <w:r w:rsidRPr="00BE02F2">
        <w:t xml:space="preserve"> that students were able to understand and apply the theory</w:t>
      </w:r>
      <w:r w:rsidR="00753F42" w:rsidRPr="00BE02F2">
        <w:t xml:space="preserve"> of the FAST assignment</w:t>
      </w:r>
      <w:r w:rsidRPr="00BE02F2">
        <w:t xml:space="preserve"> </w:t>
      </w:r>
      <w:r w:rsidR="00753F42" w:rsidRPr="00BE02F2">
        <w:t xml:space="preserve">during the lecture </w:t>
      </w:r>
      <w:r w:rsidRPr="00BE02F2">
        <w:t xml:space="preserve">with the use of instructions on paper. However, based on the observations, it appeared that </w:t>
      </w:r>
      <w:r w:rsidR="00F55630">
        <w:t>all groups</w:t>
      </w:r>
      <w:r w:rsidRPr="00BE02F2">
        <w:t xml:space="preserve"> struggled with understanding the </w:t>
      </w:r>
      <w:r w:rsidR="00753F42" w:rsidRPr="00BE02F2">
        <w:t>theoretical</w:t>
      </w:r>
      <w:r w:rsidRPr="00BE02F2">
        <w:t xml:space="preserve"> concepts</w:t>
      </w:r>
      <w:r w:rsidR="00753F42" w:rsidRPr="00BE02F2">
        <w:t xml:space="preserve"> of </w:t>
      </w:r>
      <w:r w:rsidR="005C50CF" w:rsidRPr="00BE02F2">
        <w:t xml:space="preserve">the </w:t>
      </w:r>
      <w:r w:rsidR="0014635A" w:rsidRPr="00BE02F2">
        <w:t>assignment</w:t>
      </w:r>
      <w:r w:rsidRPr="00BE02F2">
        <w:t xml:space="preserve">, and had difficulty applying these during the </w:t>
      </w:r>
      <w:r w:rsidR="005C50CF" w:rsidRPr="00BE02F2">
        <w:t>lecture</w:t>
      </w:r>
      <w:r w:rsidRPr="00BE02F2">
        <w:t xml:space="preserve">. </w:t>
      </w:r>
      <w:r w:rsidR="00F55630">
        <w:t xml:space="preserve">None of the groups achieved the maximum score. </w:t>
      </w:r>
      <w:r w:rsidRPr="00BE02F2">
        <w:t xml:space="preserve">This demonstrates that the </w:t>
      </w:r>
      <w:r w:rsidR="009A11F4" w:rsidRPr="00BE02F2">
        <w:t>lecturer</w:t>
      </w:r>
      <w:r w:rsidRPr="00BE02F2">
        <w:t xml:space="preserve"> overestimated the students’ capabilities</w:t>
      </w:r>
      <w:r w:rsidR="008A7FD0" w:rsidRPr="00BE02F2">
        <w:t xml:space="preserve"> to understand and apply the theory and instructions of the assignment</w:t>
      </w:r>
      <w:r w:rsidRPr="00BE02F2">
        <w:t>. This has been recognized in literature as well and is known as the ‘curse of knowledge</w:t>
      </w:r>
      <w:r w:rsidR="008A7FD0" w:rsidRPr="00BE02F2">
        <w:t>.</w:t>
      </w:r>
      <w:r w:rsidRPr="00BE02F2">
        <w:t>’</w:t>
      </w:r>
      <w:r w:rsidR="008A7FD0" w:rsidRPr="00BE02F2">
        <w:t xml:space="preserve"> This c</w:t>
      </w:r>
      <w:r w:rsidRPr="00BE02F2">
        <w:t>learly became apparent during this research.</w:t>
      </w:r>
      <w:r w:rsidR="00D460A2" w:rsidRPr="00BE02F2">
        <w:t xml:space="preserve"> Although the lecturer was aware of this phenomenon, the effect appeared greater than expected.</w:t>
      </w:r>
    </w:p>
    <w:p w14:paraId="16727447" w14:textId="414F17EB" w:rsidR="00E4253F" w:rsidRPr="00BE02F2" w:rsidRDefault="00B80926" w:rsidP="00C05C4C">
      <w:pPr>
        <w:pStyle w:val="Kop2"/>
      </w:pPr>
      <w:r>
        <w:t xml:space="preserve">Problem 2: </w:t>
      </w:r>
      <w:r w:rsidR="00E4253F" w:rsidRPr="00BE02F2">
        <w:t>Instructions are not read</w:t>
      </w:r>
    </w:p>
    <w:p w14:paraId="12F08829" w14:textId="2CAB481B" w:rsidR="004176F6" w:rsidRPr="00BE02F2" w:rsidRDefault="004176F6" w:rsidP="008332AF">
      <w:pPr>
        <w:rPr>
          <w:lang w:eastAsia="de-DE"/>
        </w:rPr>
      </w:pPr>
      <w:r w:rsidRPr="00BE02F2">
        <w:t xml:space="preserve">The results revealed that the </w:t>
      </w:r>
      <w:r w:rsidR="00F55630">
        <w:t>t</w:t>
      </w:r>
      <w:r w:rsidR="00D2093F">
        <w:t>wo</w:t>
      </w:r>
      <w:r w:rsidR="00F55630">
        <w:t xml:space="preserve"> best </w:t>
      </w:r>
      <w:r w:rsidRPr="00BE02F2">
        <w:t xml:space="preserve">scoring groups </w:t>
      </w:r>
      <w:r w:rsidR="00F55630">
        <w:t xml:space="preserve">(7, 4) </w:t>
      </w:r>
      <w:r w:rsidRPr="00BE02F2">
        <w:t>read and follow</w:t>
      </w:r>
      <w:r w:rsidR="00B761ED">
        <w:t>ed</w:t>
      </w:r>
      <w:r w:rsidRPr="00BE02F2">
        <w:t xml:space="preserve"> the provided instructions and examples more carefully than the groups that scored lower. The</w:t>
      </w:r>
      <w:r w:rsidR="00F55630">
        <w:t>se</w:t>
      </w:r>
      <w:r w:rsidRPr="00BE02F2">
        <w:t xml:space="preserve"> </w:t>
      </w:r>
      <w:r w:rsidR="00F55630">
        <w:t xml:space="preserve">two </w:t>
      </w:r>
      <w:r w:rsidRPr="00BE02F2">
        <w:t>groups appl</w:t>
      </w:r>
      <w:r w:rsidR="00B761ED">
        <w:t>ied</w:t>
      </w:r>
      <w:r w:rsidRPr="00BE02F2">
        <w:t xml:space="preserve"> instructions and use</w:t>
      </w:r>
      <w:r w:rsidR="00B761ED">
        <w:t>d</w:t>
      </w:r>
      <w:r w:rsidRPr="00BE02F2">
        <w:t xml:space="preserve"> </w:t>
      </w:r>
      <w:r w:rsidR="008A7FD0" w:rsidRPr="00BE02F2">
        <w:t xml:space="preserve">the </w:t>
      </w:r>
      <w:r w:rsidRPr="00BE02F2">
        <w:t>examples</w:t>
      </w:r>
      <w:r w:rsidR="008A7FD0" w:rsidRPr="00BE02F2">
        <w:t xml:space="preserve"> provided</w:t>
      </w:r>
      <w:r w:rsidRPr="00BE02F2">
        <w:t xml:space="preserve"> in all steps</w:t>
      </w:r>
      <w:r w:rsidR="008A7FD0" w:rsidRPr="00BE02F2">
        <w:t xml:space="preserve"> of the assignment</w:t>
      </w:r>
      <w:r w:rsidR="00F55630">
        <w:t xml:space="preserve">. </w:t>
      </w:r>
      <w:r w:rsidRPr="00BE02F2">
        <w:t>In other words, they follow</w:t>
      </w:r>
      <w:r w:rsidR="00B761ED">
        <w:t>ed</w:t>
      </w:r>
      <w:r w:rsidRPr="00BE02F2">
        <w:t xml:space="preserve"> the assignment </w:t>
      </w:r>
      <w:r w:rsidR="008A7FD0" w:rsidRPr="00BE02F2">
        <w:t xml:space="preserve">more strictly </w:t>
      </w:r>
      <w:r w:rsidRPr="00BE02F2">
        <w:t>than the groups that score</w:t>
      </w:r>
      <w:r w:rsidR="00B761ED">
        <w:t>d</w:t>
      </w:r>
      <w:r w:rsidRPr="00BE02F2">
        <w:t xml:space="preserve"> lower</w:t>
      </w:r>
      <w:r w:rsidR="00F55630">
        <w:t xml:space="preserve"> (10, 5, 6)</w:t>
      </w:r>
      <w:r w:rsidRPr="00BE02F2">
        <w:t xml:space="preserve">. The </w:t>
      </w:r>
      <w:r w:rsidR="00323BC7">
        <w:t>average</w:t>
      </w:r>
      <w:r w:rsidRPr="00BE02F2">
        <w:t xml:space="preserve"> scoring group</w:t>
      </w:r>
      <w:r w:rsidR="00F55630">
        <w:t xml:space="preserve"> (10)</w:t>
      </w:r>
      <w:r w:rsidRPr="00BE02F2">
        <w:t xml:space="preserve"> appl</w:t>
      </w:r>
      <w:r w:rsidR="00F55630">
        <w:t>ie</w:t>
      </w:r>
      <w:r w:rsidR="00B761ED">
        <w:t>d</w:t>
      </w:r>
      <w:r w:rsidR="00F55630">
        <w:t xml:space="preserve"> </w:t>
      </w:r>
      <w:r w:rsidRPr="00BE02F2">
        <w:t xml:space="preserve">instructions for step 1 and 2, but not for step 3. The </w:t>
      </w:r>
      <w:r w:rsidR="00813593">
        <w:t xml:space="preserve">two </w:t>
      </w:r>
      <w:r w:rsidR="00F55630">
        <w:t>lowest</w:t>
      </w:r>
      <w:r w:rsidRPr="00BE02F2">
        <w:t xml:space="preserve"> scoring groups </w:t>
      </w:r>
      <w:r w:rsidR="00F55630">
        <w:t xml:space="preserve">(5, 6) </w:t>
      </w:r>
      <w:r w:rsidRPr="00BE02F2">
        <w:t>only use</w:t>
      </w:r>
      <w:r w:rsidR="00B761ED">
        <w:t>d</w:t>
      </w:r>
      <w:r w:rsidRPr="00BE02F2">
        <w:t xml:space="preserve"> the </w:t>
      </w:r>
      <w:r w:rsidR="00D87942" w:rsidRPr="00BE02F2">
        <w:t xml:space="preserve">examples provided, </w:t>
      </w:r>
      <w:r w:rsidRPr="00BE02F2">
        <w:t xml:space="preserve">but </w:t>
      </w:r>
      <w:r w:rsidR="00D87942" w:rsidRPr="00BE02F2">
        <w:t xml:space="preserve">in none of the steps </w:t>
      </w:r>
      <w:r w:rsidRPr="00BE02F2">
        <w:t>d</w:t>
      </w:r>
      <w:r w:rsidR="00B761ED">
        <w:t>id</w:t>
      </w:r>
      <w:r w:rsidRPr="00BE02F2">
        <w:t xml:space="preserve"> </w:t>
      </w:r>
      <w:r w:rsidR="00E77902" w:rsidRPr="00BE02F2">
        <w:t xml:space="preserve">they </w:t>
      </w:r>
      <w:r w:rsidRPr="00BE02F2">
        <w:t xml:space="preserve">apply </w:t>
      </w:r>
      <w:r w:rsidR="00D87942" w:rsidRPr="00BE02F2">
        <w:t>additional</w:t>
      </w:r>
      <w:r w:rsidRPr="00BE02F2">
        <w:t xml:space="preserve"> instructions</w:t>
      </w:r>
      <w:r w:rsidR="00D87942" w:rsidRPr="00BE02F2">
        <w:t>.</w:t>
      </w:r>
    </w:p>
    <w:p w14:paraId="32665A37" w14:textId="52D3B8A0" w:rsidR="00E4253F" w:rsidRPr="00BE02F2" w:rsidRDefault="00B80926" w:rsidP="00C05C4C">
      <w:pPr>
        <w:pStyle w:val="Kop2"/>
      </w:pPr>
      <w:r>
        <w:t xml:space="preserve">Problem 3: </w:t>
      </w:r>
      <w:r w:rsidR="00E4253F" w:rsidRPr="00BE02F2">
        <w:t>No strategy to handle assignment</w:t>
      </w:r>
    </w:p>
    <w:p w14:paraId="4D81C373" w14:textId="1FF397CA" w:rsidR="00E4253F" w:rsidRPr="00BE02F2" w:rsidRDefault="00D460A2" w:rsidP="008332AF">
      <w:r w:rsidRPr="00BE02F2">
        <w:t>The results have revealed that the</w:t>
      </w:r>
      <w:r w:rsidR="00D2093F">
        <w:t xml:space="preserve"> average </w:t>
      </w:r>
      <w:r w:rsidR="00BC2554">
        <w:t xml:space="preserve">group </w:t>
      </w:r>
      <w:r w:rsidR="00D2093F">
        <w:t>(10) and</w:t>
      </w:r>
      <w:r w:rsidRPr="00BE02F2">
        <w:t xml:space="preserve"> high scoring groups</w:t>
      </w:r>
      <w:r w:rsidR="00D2093F">
        <w:t xml:space="preserve"> (7, 4) </w:t>
      </w:r>
      <w:r w:rsidR="00170E3C" w:rsidRPr="00BE02F2">
        <w:t xml:space="preserve">not only </w:t>
      </w:r>
      <w:r w:rsidRPr="00BE02F2">
        <w:t>read and follow</w:t>
      </w:r>
      <w:r w:rsidR="00B761ED">
        <w:t>ed</w:t>
      </w:r>
      <w:r w:rsidRPr="00BE02F2">
        <w:t xml:space="preserve"> the provided instructions and examples more carefully than the groups that scored lower</w:t>
      </w:r>
      <w:r w:rsidR="00170E3C" w:rsidRPr="00BE02F2">
        <w:t>, but they also explicitly discuss</w:t>
      </w:r>
      <w:r w:rsidR="00B761ED">
        <w:t>ed</w:t>
      </w:r>
      <w:r w:rsidR="00170E3C" w:rsidRPr="00BE02F2">
        <w:t xml:space="preserve"> </w:t>
      </w:r>
      <w:r w:rsidRPr="00BE02F2">
        <w:t xml:space="preserve">how to approach </w:t>
      </w:r>
      <w:r w:rsidR="00170E3C" w:rsidRPr="00BE02F2">
        <w:t>the assignment</w:t>
      </w:r>
      <w:r w:rsidRPr="00BE02F2">
        <w:t>.</w:t>
      </w:r>
      <w:r w:rsidR="00170E3C" w:rsidRPr="00BE02F2">
        <w:t xml:space="preserve"> In </w:t>
      </w:r>
      <w:r w:rsidR="00B761ED">
        <w:t>AT terms</w:t>
      </w:r>
      <w:r w:rsidR="00170E3C" w:rsidRPr="00BE02F2">
        <w:t>, they devised a strategy for tackling the assignment.</w:t>
      </w:r>
      <w:r w:rsidRPr="00BE02F2">
        <w:t xml:space="preserve"> The low scoring groups (5, 6) d</w:t>
      </w:r>
      <w:r w:rsidR="00B761ED">
        <w:t>id</w:t>
      </w:r>
      <w:r w:rsidRPr="00BE02F2">
        <w:t xml:space="preserve"> not do that. They just start</w:t>
      </w:r>
      <w:r w:rsidR="00B761ED">
        <w:t>ed</w:t>
      </w:r>
      <w:r w:rsidRPr="00BE02F2">
        <w:t xml:space="preserve"> working without discussing a strategy in advance. </w:t>
      </w:r>
    </w:p>
    <w:p w14:paraId="13C97B63" w14:textId="40FF08B0" w:rsidR="00E4253F" w:rsidRPr="00BE02F2" w:rsidRDefault="00B80926" w:rsidP="00C05C4C">
      <w:pPr>
        <w:pStyle w:val="Kop2"/>
      </w:pPr>
      <w:r>
        <w:t xml:space="preserve">Problem 4: </w:t>
      </w:r>
      <w:r w:rsidR="00E4253F" w:rsidRPr="00BE02F2">
        <w:t>Skipping steps</w:t>
      </w:r>
    </w:p>
    <w:p w14:paraId="4611D023" w14:textId="03A0C72A" w:rsidR="006C2844" w:rsidRPr="00BE02F2" w:rsidRDefault="00D460A2" w:rsidP="008332AF">
      <w:r w:rsidRPr="00BE02F2">
        <w:t>The low scoring groups</w:t>
      </w:r>
      <w:r w:rsidR="00BC2554">
        <w:t xml:space="preserve"> (5, 6)</w:t>
      </w:r>
      <w:r w:rsidRPr="00BE02F2">
        <w:t xml:space="preserve"> skip</w:t>
      </w:r>
      <w:r w:rsidR="00B761ED">
        <w:t>ped</w:t>
      </w:r>
      <w:r w:rsidRPr="00BE02F2">
        <w:t xml:space="preserve"> step 1 </w:t>
      </w:r>
      <w:r w:rsidR="00BC2554">
        <w:t xml:space="preserve">of the assignment </w:t>
      </w:r>
      <w:r w:rsidRPr="00BE02F2">
        <w:t>and jump</w:t>
      </w:r>
      <w:r w:rsidR="00B761ED">
        <w:t>ed</w:t>
      </w:r>
      <w:r w:rsidRPr="00BE02F2">
        <w:t xml:space="preserve"> straight to step 2. </w:t>
      </w:r>
      <w:r w:rsidR="00B75E9E" w:rsidRPr="00BE02F2">
        <w:t xml:space="preserve">This means that they started immediately with structuring the diagram, without brainstorming its elements first. </w:t>
      </w:r>
      <w:r w:rsidRPr="00BE02F2">
        <w:t>It appear</w:t>
      </w:r>
      <w:r w:rsidR="00B761ED">
        <w:t>ed</w:t>
      </w:r>
      <w:r w:rsidRPr="00BE02F2">
        <w:t xml:space="preserve"> that this way of working is less </w:t>
      </w:r>
      <w:r w:rsidRPr="00BE02F2">
        <w:lastRenderedPageBreak/>
        <w:t>effective, as these groups score</w:t>
      </w:r>
      <w:r w:rsidR="00B761ED">
        <w:t>d</w:t>
      </w:r>
      <w:r w:rsidRPr="00BE02F2">
        <w:t xml:space="preserve"> lower, need</w:t>
      </w:r>
      <w:r w:rsidR="00B761ED">
        <w:t>ed</w:t>
      </w:r>
      <w:r w:rsidRPr="00BE02F2">
        <w:t xml:space="preserve"> more help from the </w:t>
      </w:r>
      <w:r w:rsidR="009A11F4" w:rsidRPr="00BE02F2">
        <w:t>lecturer</w:t>
      </w:r>
      <w:r w:rsidRPr="00BE02F2">
        <w:t>, and need</w:t>
      </w:r>
      <w:r w:rsidR="00B761ED">
        <w:t>ed</w:t>
      </w:r>
      <w:r w:rsidRPr="00BE02F2">
        <w:t xml:space="preserve"> to look at the results of other groups to be able to proceed. </w:t>
      </w:r>
    </w:p>
    <w:p w14:paraId="6CC2C3F2" w14:textId="6CBAB125" w:rsidR="00D460A2" w:rsidRPr="00BE02F2" w:rsidRDefault="00471287" w:rsidP="008332AF">
      <w:pPr>
        <w:pStyle w:val="Kop1"/>
      </w:pPr>
      <w:r>
        <w:t xml:space="preserve">developing </w:t>
      </w:r>
      <w:r w:rsidR="00C05C4C" w:rsidRPr="00BE02F2">
        <w:t>interventions</w:t>
      </w:r>
      <w:r>
        <w:t xml:space="preserve"> for improving learning outcomes</w:t>
      </w:r>
    </w:p>
    <w:p w14:paraId="0B0B7762" w14:textId="7B7DC3AE" w:rsidR="00512AF4" w:rsidRPr="00BE02F2" w:rsidRDefault="00B75E9E" w:rsidP="00C05C4C">
      <w:r w:rsidRPr="00BE02F2">
        <w:rPr>
          <w:lang w:eastAsia="de-DE"/>
        </w:rPr>
        <w:t xml:space="preserve">In the previous section, several problems were described that affected learning outcomes of the groups. </w:t>
      </w:r>
      <w:r w:rsidR="00C05C4C" w:rsidRPr="00BE02F2">
        <w:t xml:space="preserve">In this section, </w:t>
      </w:r>
      <w:r w:rsidR="00171F12">
        <w:t xml:space="preserve">the </w:t>
      </w:r>
      <w:r w:rsidR="00AC502E" w:rsidRPr="00BE02F2">
        <w:t>interventions</w:t>
      </w:r>
      <w:r w:rsidR="00C05C4C" w:rsidRPr="00BE02F2">
        <w:t xml:space="preserve"> </w:t>
      </w:r>
      <w:r w:rsidR="00171F12">
        <w:t xml:space="preserve">are described that were </w:t>
      </w:r>
      <w:r w:rsidR="00C05C4C" w:rsidRPr="00BE02F2">
        <w:t xml:space="preserve">developed </w:t>
      </w:r>
      <w:r w:rsidR="00471287">
        <w:t xml:space="preserve">to solve the problems to improve learning outcomes. </w:t>
      </w:r>
      <w:r w:rsidR="00340D88">
        <w:t xml:space="preserve">This is step 3 </w:t>
      </w:r>
      <w:r w:rsidR="00071ADD">
        <w:t>in</w:t>
      </w:r>
      <w:r w:rsidR="00340D88">
        <w:t xml:space="preserve"> the research</w:t>
      </w:r>
      <w:r w:rsidR="00071ADD">
        <w:t>.</w:t>
      </w:r>
    </w:p>
    <w:p w14:paraId="24632AFB" w14:textId="2291B6DC" w:rsidR="00C05C4C" w:rsidRPr="00BE02F2" w:rsidRDefault="00121ED0" w:rsidP="00C05C4C">
      <w:pPr>
        <w:pStyle w:val="Kop2"/>
      </w:pPr>
      <w:r w:rsidRPr="00BE02F2">
        <w:t xml:space="preserve">Intervention 1: </w:t>
      </w:r>
      <w:r w:rsidR="00691C6E">
        <w:t>S</w:t>
      </w:r>
      <w:r w:rsidR="00C05C4C" w:rsidRPr="00BE02F2">
        <w:t>eparating explanation and application</w:t>
      </w:r>
    </w:p>
    <w:p w14:paraId="3C0E56F1" w14:textId="6A0F9222" w:rsidR="005779FB" w:rsidRDefault="00C05C4C" w:rsidP="00C05C4C">
      <w:r w:rsidRPr="00BE02F2">
        <w:t xml:space="preserve">As mentioned </w:t>
      </w:r>
      <w:r w:rsidR="00471287">
        <w:t>in the previous section</w:t>
      </w:r>
      <w:r w:rsidRPr="00BE02F2">
        <w:t xml:space="preserve">, the interventions should address the </w:t>
      </w:r>
      <w:r w:rsidR="005779FB" w:rsidRPr="00BE02F2">
        <w:t xml:space="preserve">theoretical </w:t>
      </w:r>
      <w:r w:rsidRPr="00BE02F2">
        <w:t xml:space="preserve">principles </w:t>
      </w:r>
      <w:r w:rsidR="005779FB" w:rsidRPr="00BE02F2">
        <w:t>of</w:t>
      </w:r>
      <w:r w:rsidRPr="00BE02F2">
        <w:t xml:space="preserve"> the </w:t>
      </w:r>
      <w:r w:rsidR="005779FB" w:rsidRPr="00BE02F2">
        <w:t>assignment</w:t>
      </w:r>
      <w:r w:rsidRPr="00BE02F2">
        <w:t xml:space="preserve"> more explicitly because groups h</w:t>
      </w:r>
      <w:r w:rsidR="005779FB" w:rsidRPr="00BE02F2">
        <w:t>ad</w:t>
      </w:r>
      <w:r w:rsidRPr="00BE02F2">
        <w:t xml:space="preserve"> trouble applying these. However, it </w:t>
      </w:r>
      <w:r w:rsidR="00471287">
        <w:t>may be in</w:t>
      </w:r>
      <w:r w:rsidR="005779FB" w:rsidRPr="00BE02F2">
        <w:t>effective</w:t>
      </w:r>
      <w:r w:rsidRPr="00BE02F2">
        <w:t xml:space="preserve"> to </w:t>
      </w:r>
      <w:r w:rsidR="005779FB" w:rsidRPr="00BE02F2">
        <w:t xml:space="preserve">add </w:t>
      </w:r>
      <w:r w:rsidR="00471287">
        <w:t xml:space="preserve">this theory </w:t>
      </w:r>
      <w:r w:rsidR="005779FB" w:rsidRPr="00BE02F2">
        <w:t xml:space="preserve">to </w:t>
      </w:r>
      <w:r w:rsidRPr="00BE02F2">
        <w:t>the instructions</w:t>
      </w:r>
      <w:r w:rsidR="001600C9">
        <w:t xml:space="preserve"> and/or give students more time</w:t>
      </w:r>
      <w:r w:rsidRPr="00BE02F2">
        <w:t xml:space="preserve">, as the results have shown that groups do not always read the instructions, or do not really understand them in </w:t>
      </w:r>
      <w:r w:rsidR="005779FB" w:rsidRPr="00BE02F2">
        <w:t>the timeframe of a lecture (1.5 hours)</w:t>
      </w:r>
      <w:r w:rsidRPr="00BE02F2">
        <w:t xml:space="preserve">. A better option might </w:t>
      </w:r>
      <w:r w:rsidR="00BE6DA2" w:rsidRPr="00BE02F2">
        <w:t xml:space="preserve">therefore </w:t>
      </w:r>
      <w:r w:rsidRPr="00BE02F2">
        <w:t xml:space="preserve">be to explain </w:t>
      </w:r>
      <w:r w:rsidR="006563F5">
        <w:t xml:space="preserve">the theory </w:t>
      </w:r>
      <w:r w:rsidRPr="00BE02F2">
        <w:t xml:space="preserve">in </w:t>
      </w:r>
      <w:r w:rsidR="001600C9">
        <w:t xml:space="preserve">another lecture in </w:t>
      </w:r>
      <w:r w:rsidRPr="00BE02F2">
        <w:t>advance</w:t>
      </w:r>
      <w:r w:rsidR="006563F5">
        <w:t xml:space="preserve"> of the application lecture</w:t>
      </w:r>
      <w:r w:rsidR="00BE6DA2" w:rsidRPr="00BE02F2">
        <w:t>.</w:t>
      </w:r>
      <w:r w:rsidRPr="00BE02F2">
        <w:t xml:space="preserve"> Thus, </w:t>
      </w:r>
      <w:r w:rsidR="00BE6DA2" w:rsidRPr="00BE02F2">
        <w:t>separating e</w:t>
      </w:r>
      <w:r w:rsidRPr="00BE02F2">
        <w:t xml:space="preserve">xplanation and application. This provides the students with some digestion-time between the explanation lecture and the </w:t>
      </w:r>
      <w:r w:rsidR="00BE6DA2" w:rsidRPr="00BE02F2">
        <w:t>application</w:t>
      </w:r>
      <w:r w:rsidRPr="00BE02F2">
        <w:t xml:space="preserve"> </w:t>
      </w:r>
      <w:r w:rsidR="009169C3" w:rsidRPr="00BE02F2">
        <w:t>lecture</w:t>
      </w:r>
      <w:r w:rsidRPr="00BE02F2">
        <w:t xml:space="preserve">, and students can study the </w:t>
      </w:r>
      <w:r w:rsidR="00BE6DA2" w:rsidRPr="00BE02F2">
        <w:t>theory</w:t>
      </w:r>
      <w:r w:rsidRPr="00BE02F2">
        <w:t xml:space="preserve"> more thoroughly. </w:t>
      </w:r>
    </w:p>
    <w:p w14:paraId="0C4B3540" w14:textId="444E1A8E" w:rsidR="00C05C4C" w:rsidRPr="00BE02F2" w:rsidRDefault="00121ED0" w:rsidP="00C05C4C">
      <w:pPr>
        <w:pStyle w:val="Kop2"/>
      </w:pPr>
      <w:r w:rsidRPr="00BE02F2">
        <w:t xml:space="preserve">Intervention 2: </w:t>
      </w:r>
      <w:r w:rsidR="00691C6E">
        <w:t>S</w:t>
      </w:r>
      <w:r w:rsidR="00C05C4C" w:rsidRPr="00BE02F2">
        <w:t xml:space="preserve">eparating </w:t>
      </w:r>
      <w:r w:rsidRPr="00BE02F2">
        <w:t>steps of the assignment</w:t>
      </w:r>
      <w:r w:rsidR="00C05C4C" w:rsidRPr="00BE02F2">
        <w:t xml:space="preserve"> more explicitly</w:t>
      </w:r>
    </w:p>
    <w:p w14:paraId="79FC6AD3" w14:textId="30240512" w:rsidR="006C2844" w:rsidRDefault="00C05C4C" w:rsidP="00C05C4C">
      <w:r w:rsidRPr="00BE02F2">
        <w:t>The results have shown that some groups skip</w:t>
      </w:r>
      <w:r w:rsidR="00813593">
        <w:t>ped</w:t>
      </w:r>
      <w:r w:rsidRPr="00BE02F2">
        <w:t xml:space="preserve"> step 1 of the assignment. This means that they started immediately with building a FAST diagram, without brainstorming </w:t>
      </w:r>
      <w:r w:rsidR="00CC7676" w:rsidRPr="00BE02F2">
        <w:t>its elements first</w:t>
      </w:r>
      <w:r w:rsidRPr="00BE02F2">
        <w:t xml:space="preserve">. The results have shown that the quality of the FAST diagrams that these groups produce is lower than those of the groups that brainstorm functions first. To prevent jumping to step 2, it could be a good idea to separate the different steps </w:t>
      </w:r>
      <w:r w:rsidR="00CC7676" w:rsidRPr="00BE02F2">
        <w:t xml:space="preserve">of the assignment </w:t>
      </w:r>
      <w:r w:rsidRPr="00BE02F2">
        <w:t>more explicitly. This can be done by separating and sequencing the instructions, in combination with timekeeping by the lecturer. By separating steps, the problem of skipping steps is solved, and the attention of the groups is more directed</w:t>
      </w:r>
      <w:r w:rsidR="00813593">
        <w:t xml:space="preserve"> to each separate step</w:t>
      </w:r>
      <w:r w:rsidRPr="00BE02F2">
        <w:t xml:space="preserve">. </w:t>
      </w:r>
    </w:p>
    <w:p w14:paraId="3388D3E0" w14:textId="362762B4" w:rsidR="00C05C4C" w:rsidRPr="00BE02F2" w:rsidRDefault="00121ED0" w:rsidP="00C05C4C">
      <w:pPr>
        <w:pStyle w:val="Kop2"/>
      </w:pPr>
      <w:r w:rsidRPr="00BE02F2">
        <w:t xml:space="preserve">Intervention 3: </w:t>
      </w:r>
      <w:r w:rsidR="00691C6E">
        <w:t>S</w:t>
      </w:r>
      <w:r w:rsidR="00C05C4C" w:rsidRPr="00BE02F2">
        <w:t>tressing</w:t>
      </w:r>
      <w:r w:rsidRPr="00BE02F2">
        <w:t xml:space="preserve"> importance of</w:t>
      </w:r>
      <w:r w:rsidR="00C05C4C" w:rsidRPr="00BE02F2">
        <w:t xml:space="preserve"> instructions and strategy</w:t>
      </w:r>
    </w:p>
    <w:p w14:paraId="10247745" w14:textId="3D09E6B7" w:rsidR="00071ADD" w:rsidRPr="00BE02F2" w:rsidRDefault="00C05C4C" w:rsidP="00C05C4C">
      <w:r w:rsidRPr="00BE02F2">
        <w:t>The results have revealed that the high scoring groups read and follow</w:t>
      </w:r>
      <w:r w:rsidR="005D3346">
        <w:t>ed</w:t>
      </w:r>
      <w:r w:rsidRPr="00BE02F2">
        <w:t xml:space="preserve"> the provided instructions and examples more carefully than the groups that scored lower. They also </w:t>
      </w:r>
      <w:r w:rsidR="00A302A3">
        <w:t>devise</w:t>
      </w:r>
      <w:r w:rsidR="005D3346">
        <w:t>d</w:t>
      </w:r>
      <w:r w:rsidR="00A302A3">
        <w:t xml:space="preserve"> </w:t>
      </w:r>
      <w:r w:rsidRPr="00BE02F2">
        <w:t xml:space="preserve">a strategy on how to approach each step. Therefore, at the start of the </w:t>
      </w:r>
      <w:r w:rsidR="009169C3" w:rsidRPr="00BE02F2">
        <w:t>lecture</w:t>
      </w:r>
      <w:r w:rsidRPr="00BE02F2">
        <w:t xml:space="preserve">, </w:t>
      </w:r>
      <w:r w:rsidR="009A11F4" w:rsidRPr="00BE02F2">
        <w:t>lecturers</w:t>
      </w:r>
      <w:r w:rsidRPr="00BE02F2">
        <w:t xml:space="preserve"> should explicitly stress that it is important to follow the instructions, and to think of a good strategy, before conducting each step of the assignment. Not only at the beginning of the </w:t>
      </w:r>
      <w:r w:rsidR="009169C3" w:rsidRPr="00BE02F2">
        <w:t>lecture</w:t>
      </w:r>
      <w:r w:rsidRPr="00BE02F2">
        <w:t xml:space="preserve"> is this needed, but also later during the assignment</w:t>
      </w:r>
      <w:r w:rsidR="00F26E6F" w:rsidRPr="00BE02F2">
        <w:t xml:space="preserve"> this should be repeated.</w:t>
      </w:r>
      <w:r w:rsidRPr="00BE02F2">
        <w:t xml:space="preserve"> The </w:t>
      </w:r>
      <w:r w:rsidR="009A11F4" w:rsidRPr="00BE02F2">
        <w:t>lecturer</w:t>
      </w:r>
      <w:r w:rsidRPr="00BE02F2">
        <w:t xml:space="preserve"> will also write these instructions explicitly on a whiteboard </w:t>
      </w:r>
      <w:r w:rsidR="00D31C77" w:rsidRPr="00BE02F2">
        <w:t>and direct attention of the groups to the whiteboard during the assignment.</w:t>
      </w:r>
    </w:p>
    <w:p w14:paraId="530D6B56" w14:textId="15D64F60" w:rsidR="003553F6" w:rsidRDefault="00411FA0" w:rsidP="003553F6">
      <w:pPr>
        <w:pStyle w:val="Kop1"/>
      </w:pPr>
      <w:r>
        <w:t xml:space="preserve">applying </w:t>
      </w:r>
      <w:r w:rsidR="003553F6" w:rsidRPr="00BE02F2">
        <w:t xml:space="preserve">the </w:t>
      </w:r>
      <w:r w:rsidR="00336D02" w:rsidRPr="00BE02F2">
        <w:t>interventions</w:t>
      </w:r>
    </w:p>
    <w:p w14:paraId="3474EC4A" w14:textId="2A255591" w:rsidR="003553F6" w:rsidRPr="00BE02F2" w:rsidRDefault="003553F6" w:rsidP="003553F6">
      <w:r w:rsidRPr="00BE02F2">
        <w:t xml:space="preserve">The </w:t>
      </w:r>
      <w:r w:rsidR="00336D02" w:rsidRPr="00BE02F2">
        <w:t xml:space="preserve">interventions were </w:t>
      </w:r>
      <w:r w:rsidRPr="00BE02F2">
        <w:t xml:space="preserve">applied </w:t>
      </w:r>
      <w:r w:rsidR="00336D02" w:rsidRPr="00BE02F2">
        <w:t xml:space="preserve">to groups in another course: Course II. </w:t>
      </w:r>
      <w:r w:rsidRPr="00BE02F2">
        <w:t xml:space="preserve">Each group </w:t>
      </w:r>
      <w:r w:rsidR="00A302A3">
        <w:t xml:space="preserve">in Course II </w:t>
      </w:r>
      <w:r w:rsidRPr="00BE02F2">
        <w:t>consist</w:t>
      </w:r>
      <w:r w:rsidR="00336D02" w:rsidRPr="00BE02F2">
        <w:t>ed</w:t>
      </w:r>
      <w:r w:rsidRPr="00BE02F2">
        <w:t xml:space="preserve"> of 5 to 6 students. Because the</w:t>
      </w:r>
      <w:r w:rsidR="00A302A3">
        <w:t>re are multiple</w:t>
      </w:r>
      <w:r w:rsidR="00336D02" w:rsidRPr="00BE02F2">
        <w:t xml:space="preserve"> interventions</w:t>
      </w:r>
      <w:r w:rsidRPr="00BE02F2">
        <w:t xml:space="preserve">, it </w:t>
      </w:r>
      <w:r w:rsidR="00336D02" w:rsidRPr="00BE02F2">
        <w:lastRenderedPageBreak/>
        <w:t>was</w:t>
      </w:r>
      <w:r w:rsidRPr="00BE02F2">
        <w:t xml:space="preserve"> also evaluated which </w:t>
      </w:r>
      <w:r w:rsidR="00A302A3">
        <w:t xml:space="preserve">interventions </w:t>
      </w:r>
      <w:r w:rsidRPr="00BE02F2">
        <w:t>ha</w:t>
      </w:r>
      <w:r w:rsidR="00BF0BBD" w:rsidRPr="00BE02F2">
        <w:t>d</w:t>
      </w:r>
      <w:r w:rsidRPr="00BE02F2">
        <w:t xml:space="preserve"> the most effect. This </w:t>
      </w:r>
      <w:r w:rsidR="00BF0BBD" w:rsidRPr="00BE02F2">
        <w:t>was</w:t>
      </w:r>
      <w:r w:rsidRPr="00BE02F2">
        <w:t xml:space="preserve"> done by dividing the eight groups in two separate clusters of each four groups. The four groups in cluster A </w:t>
      </w:r>
      <w:r w:rsidR="00BF0BBD" w:rsidRPr="00BE02F2">
        <w:t>were</w:t>
      </w:r>
      <w:r w:rsidRPr="00BE02F2">
        <w:t xml:space="preserve"> subjected to a specific intervention (treatment group), while the other four groups in cluster B, </w:t>
      </w:r>
      <w:r w:rsidR="00BF0BBD" w:rsidRPr="00BE02F2">
        <w:t>were</w:t>
      </w:r>
      <w:r w:rsidRPr="00BE02F2">
        <w:t xml:space="preserve"> not be subjected to this intervention (control group). The results </w:t>
      </w:r>
      <w:r w:rsidR="00BF0BBD" w:rsidRPr="00BE02F2">
        <w:t>were</w:t>
      </w:r>
      <w:r w:rsidRPr="00BE02F2">
        <w:t xml:space="preserve"> compared. </w:t>
      </w:r>
    </w:p>
    <w:p w14:paraId="418A673A" w14:textId="77777777" w:rsidR="003553F6" w:rsidRPr="00BE02F2" w:rsidRDefault="003553F6" w:rsidP="003553F6"/>
    <w:p w14:paraId="75A703D8" w14:textId="110D743F" w:rsidR="003553F6" w:rsidRPr="00BE02F2" w:rsidRDefault="00BF0BBD" w:rsidP="003553F6">
      <w:r w:rsidRPr="00BE02F2">
        <w:t>The first intervention was to separate theory explanation from theory application</w:t>
      </w:r>
      <w:r w:rsidR="00CA36D7" w:rsidRPr="00BE02F2">
        <w:t xml:space="preserve"> in two different lectures with some days in between them</w:t>
      </w:r>
      <w:r w:rsidRPr="00BE02F2">
        <w:t xml:space="preserve">. To test this intervention, it would be logical to subject </w:t>
      </w:r>
      <w:r w:rsidR="00CA36D7" w:rsidRPr="00BE02F2">
        <w:t xml:space="preserve">the groups in </w:t>
      </w:r>
      <w:r w:rsidRPr="00BE02F2">
        <w:t xml:space="preserve">one of the clusters to this intervention </w:t>
      </w:r>
      <w:r w:rsidR="00CA36D7" w:rsidRPr="00BE02F2">
        <w:t xml:space="preserve">(treatment group) </w:t>
      </w:r>
      <w:r w:rsidRPr="00BE02F2">
        <w:t xml:space="preserve">and </w:t>
      </w:r>
      <w:r w:rsidR="00CA36D7" w:rsidRPr="00BE02F2">
        <w:t xml:space="preserve">the groups in </w:t>
      </w:r>
      <w:r w:rsidRPr="00BE02F2">
        <w:t>the other cluster not</w:t>
      </w:r>
      <w:r w:rsidR="00CA36D7" w:rsidRPr="00BE02F2">
        <w:t xml:space="preserve"> (control group)</w:t>
      </w:r>
      <w:r w:rsidRPr="00BE02F2">
        <w:t xml:space="preserve">. </w:t>
      </w:r>
      <w:r w:rsidR="003553F6" w:rsidRPr="00BE02F2">
        <w:t xml:space="preserve">However, to refuse half of the groups to follow </w:t>
      </w:r>
      <w:r w:rsidRPr="00BE02F2">
        <w:t xml:space="preserve">the explanation </w:t>
      </w:r>
      <w:r w:rsidR="003553F6" w:rsidRPr="00BE02F2">
        <w:t xml:space="preserve">lecture would be unethical and would probably lead to so much negative spin that the entire experiment would be disturbed. </w:t>
      </w:r>
      <w:r w:rsidR="00CA36D7" w:rsidRPr="00BE02F2">
        <w:t>Therefore, all groups were subjected to the first intervention and hence they all followed the theory explanation lecture and the theory application lecture.</w:t>
      </w:r>
      <w:r w:rsidR="002551C9" w:rsidRPr="00BE02F2">
        <w:t xml:space="preserve"> Thus, with regard to this intervention, there was no difference between </w:t>
      </w:r>
      <w:r w:rsidR="00B9624F" w:rsidRPr="00BE02F2">
        <w:t>cluster A</w:t>
      </w:r>
      <w:r w:rsidR="002551C9" w:rsidRPr="00BE02F2">
        <w:t xml:space="preserve"> and B</w:t>
      </w:r>
      <w:r w:rsidR="00A302A3">
        <w:t xml:space="preserve"> in Course II.</w:t>
      </w:r>
    </w:p>
    <w:p w14:paraId="27F79DEC" w14:textId="77777777" w:rsidR="003553F6" w:rsidRPr="00BE02F2" w:rsidRDefault="003553F6" w:rsidP="003553F6"/>
    <w:p w14:paraId="234B6544" w14:textId="4B64FA4C" w:rsidR="003553F6" w:rsidRPr="00BE02F2" w:rsidRDefault="003553F6" w:rsidP="003553F6">
      <w:r w:rsidRPr="00BE02F2">
        <w:t xml:space="preserve">The other intervention </w:t>
      </w:r>
      <w:r w:rsidR="00CA36D7" w:rsidRPr="00BE02F2">
        <w:t xml:space="preserve">was to </w:t>
      </w:r>
      <w:r w:rsidRPr="00BE02F2">
        <w:t xml:space="preserve">stress </w:t>
      </w:r>
      <w:r w:rsidR="00CA36D7" w:rsidRPr="00BE02F2">
        <w:t xml:space="preserve">at several moments during the application lecture </w:t>
      </w:r>
      <w:r w:rsidRPr="00BE02F2">
        <w:t xml:space="preserve">that it is very important to read the instructions and examples carefully, and </w:t>
      </w:r>
      <w:r w:rsidR="00CA36D7" w:rsidRPr="00BE02F2">
        <w:t xml:space="preserve">to devise a strategy. To test the effect of this intervention, it would be logical to subject the groups of one cluster to this intervention (treatment) and the groups in the other cluster not (control). However, that </w:t>
      </w:r>
      <w:r w:rsidRPr="00BE02F2">
        <w:t xml:space="preserve">would require two different plenary starts for the two clusters, which would lead to practical problems. </w:t>
      </w:r>
      <w:r w:rsidR="00CA36D7" w:rsidRPr="00BE02F2">
        <w:t xml:space="preserve">Therefore, </w:t>
      </w:r>
      <w:r w:rsidR="005C36E8">
        <w:t xml:space="preserve">also </w:t>
      </w:r>
      <w:r w:rsidR="00CA36D7" w:rsidRPr="00BE02F2">
        <w:t>this intervention was applied to all groups in both clusters.</w:t>
      </w:r>
      <w:r w:rsidR="002551C9" w:rsidRPr="00BE02F2">
        <w:t xml:space="preserve"> </w:t>
      </w:r>
    </w:p>
    <w:p w14:paraId="748EF6D1" w14:textId="77777777" w:rsidR="003553F6" w:rsidRPr="00BE02F2" w:rsidRDefault="003553F6" w:rsidP="003553F6"/>
    <w:p w14:paraId="40E5C6BE" w14:textId="0479AD64" w:rsidR="00071ADD" w:rsidRPr="00BE02F2" w:rsidRDefault="00CA36D7" w:rsidP="003553F6">
      <w:r w:rsidRPr="00BE02F2">
        <w:t xml:space="preserve">The final </w:t>
      </w:r>
      <w:r w:rsidR="003553F6" w:rsidRPr="00BE02F2">
        <w:t xml:space="preserve">intervention is to separate </w:t>
      </w:r>
      <w:r w:rsidRPr="00BE02F2">
        <w:t xml:space="preserve">the steps of the assignment more </w:t>
      </w:r>
      <w:r w:rsidR="0014635A" w:rsidRPr="00BE02F2">
        <w:t>explicitly</w:t>
      </w:r>
      <w:r w:rsidR="003553F6" w:rsidRPr="00BE02F2">
        <w:t xml:space="preserve">. This intervention </w:t>
      </w:r>
      <w:r w:rsidRPr="00BE02F2">
        <w:t xml:space="preserve">was indeed tested in an experiment with a treatment and control group. It </w:t>
      </w:r>
      <w:r w:rsidR="003553F6" w:rsidRPr="00BE02F2">
        <w:t>means that groups in cluster A receive</w:t>
      </w:r>
      <w:r w:rsidRPr="00BE02F2">
        <w:t>d</w:t>
      </w:r>
      <w:r w:rsidR="003553F6" w:rsidRPr="00BE02F2">
        <w:t xml:space="preserve"> the instructions for each of the steps in the assignment in chunks and in sequence, while the groups in cluster B receive</w:t>
      </w:r>
      <w:r w:rsidR="002551C9" w:rsidRPr="00BE02F2">
        <w:t>d</w:t>
      </w:r>
      <w:r w:rsidR="003553F6" w:rsidRPr="00BE02F2">
        <w:t xml:space="preserve"> all instructions at once and from the start. To carry out this experiment appropriately, the groups of cluster A were separated from those of Cluster B by a moveable wall, and students were not allowed to move beyond the wall. This experiment is ethically acceptable because all groups receive</w:t>
      </w:r>
      <w:r w:rsidR="00C47487">
        <w:t>d</w:t>
      </w:r>
      <w:r w:rsidR="003553F6" w:rsidRPr="00BE02F2">
        <w:t xml:space="preserve"> the same information, only the sequence is different.</w:t>
      </w:r>
      <w:r w:rsidR="002551C9" w:rsidRPr="00BE02F2">
        <w:t xml:space="preserve"> Besides, student</w:t>
      </w:r>
      <w:r w:rsidR="00BD5E8E">
        <w:t>s</w:t>
      </w:r>
      <w:r w:rsidR="002551C9" w:rsidRPr="00BE02F2">
        <w:t xml:space="preserve"> did not receive a grade for the assignment. Finally</w:t>
      </w:r>
      <w:r w:rsidR="003553F6" w:rsidRPr="00BE02F2">
        <w:t xml:space="preserve">, this experiment can be conducted without students noticing it at first glance, because the assignments on the table look the same. </w:t>
      </w:r>
    </w:p>
    <w:p w14:paraId="14DDFE82" w14:textId="3212C3F1" w:rsidR="003553F6" w:rsidRPr="00BE02F2" w:rsidRDefault="00411FA0" w:rsidP="003553F6">
      <w:pPr>
        <w:pStyle w:val="Kop1"/>
      </w:pPr>
      <w:r>
        <w:t xml:space="preserve">evaluating </w:t>
      </w:r>
      <w:r w:rsidR="003553F6" w:rsidRPr="00BE02F2">
        <w:t>interventions</w:t>
      </w:r>
    </w:p>
    <w:p w14:paraId="078D5764" w14:textId="55284816" w:rsidR="00A23266" w:rsidRDefault="003553F6" w:rsidP="00E93322">
      <w:r w:rsidRPr="00BE02F2">
        <w:t>Regarding</w:t>
      </w:r>
      <w:r w:rsidR="00803144">
        <w:t xml:space="preserve"> evaluating</w:t>
      </w:r>
      <w:r w:rsidRPr="00BE02F2">
        <w:t xml:space="preserve"> the effectiveness</w:t>
      </w:r>
      <w:r w:rsidR="005C36E8">
        <w:t xml:space="preserve"> of the interventions</w:t>
      </w:r>
      <w:r w:rsidRPr="00BE02F2">
        <w:t xml:space="preserve">, the first expectation was that the groups of </w:t>
      </w:r>
      <w:r w:rsidR="00417622" w:rsidRPr="00BE02F2">
        <w:t>Course II</w:t>
      </w:r>
      <w:r w:rsidRPr="00BE02F2">
        <w:t xml:space="preserve"> would score better than those of </w:t>
      </w:r>
      <w:r w:rsidR="009F07FA" w:rsidRPr="00BE02F2">
        <w:t>Course I</w:t>
      </w:r>
      <w:r w:rsidR="00A302A3">
        <w:t xml:space="preserve"> because they were subjected to the interventions</w:t>
      </w:r>
      <w:r w:rsidRPr="00BE02F2">
        <w:t>. However, the findings show that this was only partly the case. F</w:t>
      </w:r>
      <w:r w:rsidR="008B74A2">
        <w:t>our</w:t>
      </w:r>
      <w:r w:rsidRPr="00BE02F2">
        <w:t xml:space="preserve"> of the eight groups of </w:t>
      </w:r>
      <w:r w:rsidR="00417622" w:rsidRPr="00BE02F2">
        <w:t>Course II</w:t>
      </w:r>
      <w:r w:rsidRPr="00BE02F2">
        <w:t xml:space="preserve"> (groups 2, 3, 6 and 7) indeed scored </w:t>
      </w:r>
      <w:r w:rsidR="00A302A3">
        <w:t>equal</w:t>
      </w:r>
      <w:r w:rsidRPr="00BE02F2">
        <w:t xml:space="preserve"> to, or higher than the highest </w:t>
      </w:r>
      <w:r w:rsidR="00A302A3">
        <w:t>score in</w:t>
      </w:r>
      <w:r w:rsidRPr="00BE02F2">
        <w:t xml:space="preserve"> </w:t>
      </w:r>
      <w:r w:rsidR="00417622" w:rsidRPr="00BE02F2">
        <w:t>Course I</w:t>
      </w:r>
      <w:r w:rsidRPr="00BE02F2">
        <w:t xml:space="preserve"> </w:t>
      </w:r>
      <w:r w:rsidR="00977664">
        <w:t>(see</w:t>
      </w:r>
      <w:r w:rsidR="001B52DC">
        <w:t xml:space="preserve"> </w:t>
      </w:r>
      <w:r w:rsidR="001B52DC">
        <w:fldChar w:fldCharType="begin"/>
      </w:r>
      <w:r w:rsidR="001B52DC">
        <w:instrText xml:space="preserve"> REF _Ref46841700 \h </w:instrText>
      </w:r>
      <w:r w:rsidR="001B52DC">
        <w:fldChar w:fldCharType="separate"/>
      </w:r>
      <w:r w:rsidR="0045391A">
        <w:t xml:space="preserve">Table </w:t>
      </w:r>
      <w:r w:rsidR="0045391A">
        <w:rPr>
          <w:noProof/>
        </w:rPr>
        <w:t>2</w:t>
      </w:r>
      <w:r w:rsidR="001B52DC">
        <w:fldChar w:fldCharType="end"/>
      </w:r>
      <w:r w:rsidR="001B52DC">
        <w:t>).</w:t>
      </w:r>
      <w:r w:rsidR="00E93322">
        <w:t xml:space="preserve"> To clarify this, the highest score in Course I is 4 (group 7), but in Course II, </w:t>
      </w:r>
      <w:r w:rsidR="008B74A2">
        <w:t>four</w:t>
      </w:r>
      <w:r w:rsidR="00E93322">
        <w:t xml:space="preserve"> groups score 4 </w:t>
      </w:r>
      <w:r w:rsidR="00E93322">
        <w:lastRenderedPageBreak/>
        <w:t xml:space="preserve">or even higher. </w:t>
      </w:r>
      <w:r w:rsidR="00E93322" w:rsidRPr="00BE02F2">
        <w:t xml:space="preserve">This is in keeping with expectations. However, three of the eight groups of Course II (groups 1, 4 and 8) scored </w:t>
      </w:r>
      <w:r w:rsidR="00E93322">
        <w:t>equally</w:t>
      </w:r>
      <w:r w:rsidR="00E93322" w:rsidRPr="00BE02F2">
        <w:t xml:space="preserve"> low, or even lower than the lowest </w:t>
      </w:r>
      <w:r w:rsidR="00E93322">
        <w:t>score in</w:t>
      </w:r>
      <w:r w:rsidR="00E93322" w:rsidRPr="00BE02F2">
        <w:t xml:space="preserve"> Course I. The lowest score in Course I was -2, but the groups of Course II scored -2, -4 and -6. Thus, it cannot be concluded that the interventions have led to an increase in scores of all groups. </w:t>
      </w:r>
    </w:p>
    <w:p w14:paraId="6ADB6FC6" w14:textId="0B20E44A" w:rsidR="000B1A10" w:rsidRPr="00A761F8" w:rsidRDefault="000B1A10" w:rsidP="000B1A10">
      <w:pPr>
        <w:pStyle w:val="CaptionTablesFigures"/>
        <w:rPr>
          <w:sz w:val="24"/>
          <w:szCs w:val="24"/>
        </w:rPr>
      </w:pPr>
      <w:bookmarkStart w:id="3" w:name="_Ref46841700"/>
      <w:bookmarkStart w:id="4" w:name="_Ref46841676"/>
      <w:r w:rsidRPr="00A761F8">
        <w:rPr>
          <w:sz w:val="24"/>
          <w:szCs w:val="24"/>
        </w:rPr>
        <w:t xml:space="preserve">Table </w:t>
      </w:r>
      <w:r w:rsidRPr="00A761F8">
        <w:rPr>
          <w:sz w:val="24"/>
          <w:szCs w:val="24"/>
        </w:rPr>
        <w:fldChar w:fldCharType="begin"/>
      </w:r>
      <w:r w:rsidRPr="00A761F8">
        <w:rPr>
          <w:sz w:val="24"/>
          <w:szCs w:val="24"/>
        </w:rPr>
        <w:instrText xml:space="preserve"> SEQ Table \* ARABIC </w:instrText>
      </w:r>
      <w:r w:rsidRPr="00A761F8">
        <w:rPr>
          <w:sz w:val="24"/>
          <w:szCs w:val="24"/>
        </w:rPr>
        <w:fldChar w:fldCharType="separate"/>
      </w:r>
      <w:r w:rsidR="0045391A" w:rsidRPr="00A761F8">
        <w:rPr>
          <w:noProof/>
          <w:sz w:val="24"/>
          <w:szCs w:val="24"/>
        </w:rPr>
        <w:t>2</w:t>
      </w:r>
      <w:r w:rsidRPr="00A761F8">
        <w:rPr>
          <w:sz w:val="24"/>
          <w:szCs w:val="24"/>
        </w:rPr>
        <w:fldChar w:fldCharType="end"/>
      </w:r>
      <w:bookmarkEnd w:id="3"/>
      <w:r w:rsidRPr="00A761F8">
        <w:rPr>
          <w:sz w:val="24"/>
          <w:szCs w:val="24"/>
        </w:rPr>
        <w:t xml:space="preserve"> Learning outcomes of the groups in Course I and II</w:t>
      </w:r>
      <w:bookmarkEnd w:id="4"/>
    </w:p>
    <w:tbl>
      <w:tblPr>
        <w:tblStyle w:val="Tabelraster"/>
        <w:tblW w:w="0" w:type="auto"/>
        <w:tblLook w:val="04A0" w:firstRow="1" w:lastRow="0" w:firstColumn="1" w:lastColumn="0" w:noHBand="0" w:noVBand="1"/>
      </w:tblPr>
      <w:tblGrid>
        <w:gridCol w:w="1502"/>
        <w:gridCol w:w="1502"/>
        <w:gridCol w:w="1503"/>
        <w:gridCol w:w="1503"/>
        <w:gridCol w:w="1503"/>
        <w:gridCol w:w="1503"/>
      </w:tblGrid>
      <w:tr w:rsidR="00977664" w:rsidRPr="00A761F8" w14:paraId="4D1CCAB7" w14:textId="77777777" w:rsidTr="00977664">
        <w:tc>
          <w:tcPr>
            <w:tcW w:w="3004" w:type="dxa"/>
            <w:gridSpan w:val="2"/>
            <w:tcBorders>
              <w:bottom w:val="single" w:sz="4" w:space="0" w:color="auto"/>
              <w:right w:val="single" w:sz="4" w:space="0" w:color="auto"/>
            </w:tcBorders>
            <w:shd w:val="pct40" w:color="auto" w:fill="auto"/>
          </w:tcPr>
          <w:p w14:paraId="7FB5F292" w14:textId="77777777" w:rsidR="00977664" w:rsidRPr="00A761F8" w:rsidRDefault="00977664" w:rsidP="00C02C8F">
            <w:pPr>
              <w:jc w:val="center"/>
              <w:rPr>
                <w:sz w:val="18"/>
                <w:szCs w:val="18"/>
              </w:rPr>
            </w:pPr>
            <w:r w:rsidRPr="00A761F8">
              <w:rPr>
                <w:b/>
                <w:sz w:val="18"/>
                <w:szCs w:val="18"/>
              </w:rPr>
              <w:t>Course I – no intervention</w:t>
            </w:r>
          </w:p>
        </w:tc>
        <w:tc>
          <w:tcPr>
            <w:tcW w:w="6012" w:type="dxa"/>
            <w:gridSpan w:val="4"/>
            <w:tcBorders>
              <w:left w:val="single" w:sz="4" w:space="0" w:color="auto"/>
              <w:bottom w:val="single" w:sz="4" w:space="0" w:color="auto"/>
            </w:tcBorders>
            <w:shd w:val="pct40" w:color="auto" w:fill="auto"/>
          </w:tcPr>
          <w:p w14:paraId="0227D4D6" w14:textId="77777777" w:rsidR="00977664" w:rsidRPr="00A761F8" w:rsidRDefault="00977664" w:rsidP="00C02C8F">
            <w:pPr>
              <w:jc w:val="center"/>
              <w:rPr>
                <w:sz w:val="18"/>
                <w:szCs w:val="18"/>
              </w:rPr>
            </w:pPr>
            <w:r w:rsidRPr="00A761F8">
              <w:rPr>
                <w:b/>
                <w:sz w:val="18"/>
                <w:szCs w:val="18"/>
              </w:rPr>
              <w:t>Course II – intervention</w:t>
            </w:r>
          </w:p>
        </w:tc>
      </w:tr>
      <w:tr w:rsidR="00977664" w:rsidRPr="00A761F8" w14:paraId="6FCBED4D" w14:textId="77777777" w:rsidTr="00977664">
        <w:tc>
          <w:tcPr>
            <w:tcW w:w="3004" w:type="dxa"/>
            <w:gridSpan w:val="2"/>
            <w:tcBorders>
              <w:right w:val="single" w:sz="4" w:space="0" w:color="auto"/>
            </w:tcBorders>
            <w:shd w:val="pct12" w:color="auto" w:fill="auto"/>
          </w:tcPr>
          <w:p w14:paraId="6499B86E" w14:textId="77777777" w:rsidR="00977664" w:rsidRPr="00A761F8" w:rsidRDefault="00977664" w:rsidP="00C02C8F">
            <w:pPr>
              <w:jc w:val="center"/>
              <w:rPr>
                <w:b/>
                <w:bCs/>
                <w:sz w:val="18"/>
                <w:szCs w:val="18"/>
              </w:rPr>
            </w:pPr>
            <w:r w:rsidRPr="00A761F8">
              <w:rPr>
                <w:b/>
                <w:bCs/>
                <w:sz w:val="18"/>
                <w:szCs w:val="18"/>
              </w:rPr>
              <w:t>No clustering</w:t>
            </w:r>
          </w:p>
        </w:tc>
        <w:tc>
          <w:tcPr>
            <w:tcW w:w="3006" w:type="dxa"/>
            <w:gridSpan w:val="2"/>
            <w:tcBorders>
              <w:left w:val="single" w:sz="4" w:space="0" w:color="auto"/>
            </w:tcBorders>
            <w:shd w:val="pct12" w:color="auto" w:fill="auto"/>
          </w:tcPr>
          <w:p w14:paraId="78453EA8" w14:textId="77777777" w:rsidR="00977664" w:rsidRPr="00A761F8" w:rsidRDefault="00977664" w:rsidP="00C02C8F">
            <w:pPr>
              <w:jc w:val="center"/>
              <w:rPr>
                <w:sz w:val="18"/>
                <w:szCs w:val="18"/>
              </w:rPr>
            </w:pPr>
            <w:r w:rsidRPr="00A761F8">
              <w:rPr>
                <w:b/>
                <w:sz w:val="18"/>
                <w:szCs w:val="18"/>
              </w:rPr>
              <w:t>Cluster A</w:t>
            </w:r>
          </w:p>
        </w:tc>
        <w:tc>
          <w:tcPr>
            <w:tcW w:w="3006" w:type="dxa"/>
            <w:gridSpan w:val="2"/>
            <w:shd w:val="pct12" w:color="auto" w:fill="auto"/>
          </w:tcPr>
          <w:p w14:paraId="1381A60D" w14:textId="77777777" w:rsidR="00977664" w:rsidRPr="00A761F8" w:rsidRDefault="00977664" w:rsidP="00C02C8F">
            <w:pPr>
              <w:jc w:val="center"/>
              <w:rPr>
                <w:sz w:val="18"/>
                <w:szCs w:val="18"/>
              </w:rPr>
            </w:pPr>
            <w:r w:rsidRPr="00A761F8">
              <w:rPr>
                <w:b/>
                <w:sz w:val="18"/>
                <w:szCs w:val="18"/>
              </w:rPr>
              <w:t>Cluster B</w:t>
            </w:r>
          </w:p>
        </w:tc>
      </w:tr>
      <w:tr w:rsidR="00977664" w:rsidRPr="00A761F8" w14:paraId="58522AD9" w14:textId="77777777" w:rsidTr="00977664">
        <w:tc>
          <w:tcPr>
            <w:tcW w:w="1502" w:type="dxa"/>
          </w:tcPr>
          <w:p w14:paraId="7D5BA618" w14:textId="77777777" w:rsidR="00977664" w:rsidRPr="00A761F8" w:rsidRDefault="00977664" w:rsidP="00C02C8F">
            <w:pPr>
              <w:jc w:val="center"/>
              <w:rPr>
                <w:sz w:val="18"/>
                <w:szCs w:val="18"/>
              </w:rPr>
            </w:pPr>
            <w:r w:rsidRPr="00A761F8">
              <w:rPr>
                <w:b/>
                <w:sz w:val="18"/>
                <w:szCs w:val="18"/>
              </w:rPr>
              <w:t>Group</w:t>
            </w:r>
          </w:p>
        </w:tc>
        <w:tc>
          <w:tcPr>
            <w:tcW w:w="1502" w:type="dxa"/>
            <w:tcBorders>
              <w:right w:val="single" w:sz="4" w:space="0" w:color="auto"/>
            </w:tcBorders>
          </w:tcPr>
          <w:p w14:paraId="3FFFE220" w14:textId="77777777" w:rsidR="00977664" w:rsidRPr="00A761F8" w:rsidRDefault="00977664" w:rsidP="00C02C8F">
            <w:pPr>
              <w:jc w:val="center"/>
              <w:rPr>
                <w:sz w:val="18"/>
                <w:szCs w:val="18"/>
              </w:rPr>
            </w:pPr>
            <w:r w:rsidRPr="00A761F8">
              <w:rPr>
                <w:b/>
                <w:sz w:val="18"/>
                <w:szCs w:val="18"/>
              </w:rPr>
              <w:t>Score</w:t>
            </w:r>
          </w:p>
        </w:tc>
        <w:tc>
          <w:tcPr>
            <w:tcW w:w="1503" w:type="dxa"/>
            <w:tcBorders>
              <w:left w:val="single" w:sz="4" w:space="0" w:color="auto"/>
            </w:tcBorders>
          </w:tcPr>
          <w:p w14:paraId="5692C5C2" w14:textId="77777777" w:rsidR="00977664" w:rsidRPr="00A761F8" w:rsidRDefault="00977664" w:rsidP="00C02C8F">
            <w:pPr>
              <w:jc w:val="center"/>
              <w:rPr>
                <w:sz w:val="18"/>
                <w:szCs w:val="18"/>
              </w:rPr>
            </w:pPr>
            <w:r w:rsidRPr="00A761F8">
              <w:rPr>
                <w:b/>
                <w:sz w:val="18"/>
                <w:szCs w:val="18"/>
              </w:rPr>
              <w:t>Group</w:t>
            </w:r>
          </w:p>
        </w:tc>
        <w:tc>
          <w:tcPr>
            <w:tcW w:w="1503" w:type="dxa"/>
          </w:tcPr>
          <w:p w14:paraId="57B97F0A" w14:textId="77777777" w:rsidR="00977664" w:rsidRPr="00A761F8" w:rsidRDefault="00977664" w:rsidP="00C02C8F">
            <w:pPr>
              <w:jc w:val="center"/>
              <w:rPr>
                <w:sz w:val="18"/>
                <w:szCs w:val="18"/>
              </w:rPr>
            </w:pPr>
            <w:r w:rsidRPr="00A761F8">
              <w:rPr>
                <w:b/>
                <w:sz w:val="18"/>
                <w:szCs w:val="18"/>
              </w:rPr>
              <w:t>Score</w:t>
            </w:r>
          </w:p>
        </w:tc>
        <w:tc>
          <w:tcPr>
            <w:tcW w:w="1503" w:type="dxa"/>
          </w:tcPr>
          <w:p w14:paraId="024B7B21" w14:textId="77777777" w:rsidR="00977664" w:rsidRPr="00A761F8" w:rsidRDefault="00977664" w:rsidP="00C02C8F">
            <w:pPr>
              <w:jc w:val="center"/>
              <w:rPr>
                <w:sz w:val="18"/>
                <w:szCs w:val="18"/>
              </w:rPr>
            </w:pPr>
            <w:r w:rsidRPr="00A761F8">
              <w:rPr>
                <w:b/>
                <w:sz w:val="18"/>
                <w:szCs w:val="18"/>
              </w:rPr>
              <w:t>Group</w:t>
            </w:r>
          </w:p>
        </w:tc>
        <w:tc>
          <w:tcPr>
            <w:tcW w:w="1503" w:type="dxa"/>
          </w:tcPr>
          <w:p w14:paraId="24BF41F5" w14:textId="77777777" w:rsidR="00977664" w:rsidRPr="00A761F8" w:rsidRDefault="00977664" w:rsidP="00C02C8F">
            <w:pPr>
              <w:jc w:val="center"/>
              <w:rPr>
                <w:sz w:val="18"/>
                <w:szCs w:val="18"/>
              </w:rPr>
            </w:pPr>
            <w:r w:rsidRPr="00A761F8">
              <w:rPr>
                <w:b/>
                <w:sz w:val="18"/>
                <w:szCs w:val="18"/>
              </w:rPr>
              <w:t>Score</w:t>
            </w:r>
          </w:p>
        </w:tc>
      </w:tr>
      <w:tr w:rsidR="00977664" w:rsidRPr="00A761F8" w14:paraId="5843029E" w14:textId="77777777" w:rsidTr="00977664">
        <w:tc>
          <w:tcPr>
            <w:tcW w:w="1502" w:type="dxa"/>
          </w:tcPr>
          <w:p w14:paraId="6342A551" w14:textId="77777777" w:rsidR="00977664" w:rsidRPr="00A761F8" w:rsidRDefault="00977664" w:rsidP="00C02C8F">
            <w:pPr>
              <w:jc w:val="center"/>
              <w:rPr>
                <w:bCs/>
                <w:sz w:val="18"/>
                <w:szCs w:val="18"/>
              </w:rPr>
            </w:pPr>
            <w:r w:rsidRPr="00A761F8">
              <w:rPr>
                <w:bCs/>
                <w:sz w:val="18"/>
                <w:szCs w:val="18"/>
              </w:rPr>
              <w:t>4</w:t>
            </w:r>
          </w:p>
        </w:tc>
        <w:tc>
          <w:tcPr>
            <w:tcW w:w="1502" w:type="dxa"/>
            <w:tcBorders>
              <w:right w:val="single" w:sz="4" w:space="0" w:color="auto"/>
            </w:tcBorders>
          </w:tcPr>
          <w:p w14:paraId="0ECCF024" w14:textId="77777777" w:rsidR="00977664" w:rsidRPr="00A761F8" w:rsidRDefault="00977664" w:rsidP="00C02C8F">
            <w:pPr>
              <w:jc w:val="center"/>
              <w:rPr>
                <w:bCs/>
                <w:sz w:val="18"/>
                <w:szCs w:val="18"/>
              </w:rPr>
            </w:pPr>
            <w:r w:rsidRPr="00A761F8">
              <w:rPr>
                <w:bCs/>
                <w:sz w:val="18"/>
                <w:szCs w:val="18"/>
              </w:rPr>
              <w:t>3</w:t>
            </w:r>
          </w:p>
        </w:tc>
        <w:tc>
          <w:tcPr>
            <w:tcW w:w="1503" w:type="dxa"/>
            <w:tcBorders>
              <w:left w:val="single" w:sz="4" w:space="0" w:color="auto"/>
            </w:tcBorders>
          </w:tcPr>
          <w:p w14:paraId="67255524" w14:textId="77777777" w:rsidR="00977664" w:rsidRPr="00A761F8" w:rsidRDefault="00977664" w:rsidP="00C02C8F">
            <w:pPr>
              <w:jc w:val="center"/>
              <w:rPr>
                <w:bCs/>
                <w:sz w:val="18"/>
                <w:szCs w:val="18"/>
              </w:rPr>
            </w:pPr>
            <w:r w:rsidRPr="00A761F8">
              <w:rPr>
                <w:bCs/>
                <w:sz w:val="18"/>
                <w:szCs w:val="18"/>
              </w:rPr>
              <w:t>2</w:t>
            </w:r>
          </w:p>
        </w:tc>
        <w:tc>
          <w:tcPr>
            <w:tcW w:w="1503" w:type="dxa"/>
          </w:tcPr>
          <w:p w14:paraId="1E402B89" w14:textId="77777777" w:rsidR="00977664" w:rsidRPr="00A761F8" w:rsidRDefault="00977664" w:rsidP="00C02C8F">
            <w:pPr>
              <w:jc w:val="center"/>
              <w:rPr>
                <w:bCs/>
                <w:sz w:val="18"/>
                <w:szCs w:val="18"/>
              </w:rPr>
            </w:pPr>
            <w:r w:rsidRPr="00A761F8">
              <w:rPr>
                <w:bCs/>
                <w:sz w:val="18"/>
                <w:szCs w:val="18"/>
              </w:rPr>
              <w:t>5</w:t>
            </w:r>
          </w:p>
        </w:tc>
        <w:tc>
          <w:tcPr>
            <w:tcW w:w="1503" w:type="dxa"/>
          </w:tcPr>
          <w:p w14:paraId="1ED2D800" w14:textId="77777777" w:rsidR="00977664" w:rsidRPr="00A761F8" w:rsidRDefault="00977664" w:rsidP="00C02C8F">
            <w:pPr>
              <w:jc w:val="center"/>
              <w:rPr>
                <w:bCs/>
                <w:sz w:val="18"/>
                <w:szCs w:val="18"/>
              </w:rPr>
            </w:pPr>
            <w:r w:rsidRPr="00A761F8">
              <w:rPr>
                <w:bCs/>
                <w:sz w:val="18"/>
                <w:szCs w:val="18"/>
              </w:rPr>
              <w:t>1</w:t>
            </w:r>
          </w:p>
        </w:tc>
        <w:tc>
          <w:tcPr>
            <w:tcW w:w="1503" w:type="dxa"/>
          </w:tcPr>
          <w:p w14:paraId="19B53871" w14:textId="77777777" w:rsidR="00977664" w:rsidRPr="00A761F8" w:rsidRDefault="00977664" w:rsidP="00C02C8F">
            <w:pPr>
              <w:jc w:val="center"/>
              <w:rPr>
                <w:bCs/>
                <w:sz w:val="18"/>
                <w:szCs w:val="18"/>
              </w:rPr>
            </w:pPr>
            <w:r w:rsidRPr="00A761F8">
              <w:rPr>
                <w:bCs/>
                <w:sz w:val="18"/>
                <w:szCs w:val="18"/>
              </w:rPr>
              <w:t>-6</w:t>
            </w:r>
          </w:p>
        </w:tc>
      </w:tr>
      <w:tr w:rsidR="00977664" w:rsidRPr="00A761F8" w14:paraId="4FDB572D" w14:textId="77777777" w:rsidTr="00977664">
        <w:tc>
          <w:tcPr>
            <w:tcW w:w="1502" w:type="dxa"/>
          </w:tcPr>
          <w:p w14:paraId="1DC850C0" w14:textId="77777777" w:rsidR="00977664" w:rsidRPr="00A761F8" w:rsidRDefault="00977664" w:rsidP="00C02C8F">
            <w:pPr>
              <w:jc w:val="center"/>
              <w:rPr>
                <w:bCs/>
                <w:sz w:val="18"/>
                <w:szCs w:val="18"/>
              </w:rPr>
            </w:pPr>
            <w:r w:rsidRPr="00A761F8">
              <w:rPr>
                <w:bCs/>
                <w:sz w:val="18"/>
                <w:szCs w:val="18"/>
              </w:rPr>
              <w:t>5</w:t>
            </w:r>
          </w:p>
        </w:tc>
        <w:tc>
          <w:tcPr>
            <w:tcW w:w="1502" w:type="dxa"/>
            <w:tcBorders>
              <w:right w:val="single" w:sz="4" w:space="0" w:color="auto"/>
            </w:tcBorders>
          </w:tcPr>
          <w:p w14:paraId="28CE9810" w14:textId="77777777" w:rsidR="00977664" w:rsidRPr="00A761F8" w:rsidRDefault="00977664" w:rsidP="00C02C8F">
            <w:pPr>
              <w:jc w:val="center"/>
              <w:rPr>
                <w:bCs/>
                <w:sz w:val="18"/>
                <w:szCs w:val="18"/>
              </w:rPr>
            </w:pPr>
            <w:r w:rsidRPr="00A761F8">
              <w:rPr>
                <w:bCs/>
                <w:sz w:val="18"/>
                <w:szCs w:val="18"/>
              </w:rPr>
              <w:t>0</w:t>
            </w:r>
          </w:p>
        </w:tc>
        <w:tc>
          <w:tcPr>
            <w:tcW w:w="1503" w:type="dxa"/>
            <w:tcBorders>
              <w:left w:val="single" w:sz="4" w:space="0" w:color="auto"/>
            </w:tcBorders>
          </w:tcPr>
          <w:p w14:paraId="18AC6E23" w14:textId="77777777" w:rsidR="00977664" w:rsidRPr="00A761F8" w:rsidRDefault="00977664" w:rsidP="00C02C8F">
            <w:pPr>
              <w:jc w:val="center"/>
              <w:rPr>
                <w:bCs/>
                <w:sz w:val="18"/>
                <w:szCs w:val="18"/>
              </w:rPr>
            </w:pPr>
            <w:r w:rsidRPr="00A761F8">
              <w:rPr>
                <w:bCs/>
                <w:sz w:val="18"/>
                <w:szCs w:val="18"/>
              </w:rPr>
              <w:t>3</w:t>
            </w:r>
          </w:p>
        </w:tc>
        <w:tc>
          <w:tcPr>
            <w:tcW w:w="1503" w:type="dxa"/>
          </w:tcPr>
          <w:p w14:paraId="2A0A03C4" w14:textId="77777777" w:rsidR="00977664" w:rsidRPr="00A761F8" w:rsidRDefault="00977664" w:rsidP="00C02C8F">
            <w:pPr>
              <w:jc w:val="center"/>
              <w:rPr>
                <w:bCs/>
                <w:sz w:val="18"/>
                <w:szCs w:val="18"/>
              </w:rPr>
            </w:pPr>
            <w:r w:rsidRPr="00A761F8">
              <w:rPr>
                <w:bCs/>
                <w:sz w:val="18"/>
                <w:szCs w:val="18"/>
              </w:rPr>
              <w:t>5</w:t>
            </w:r>
          </w:p>
        </w:tc>
        <w:tc>
          <w:tcPr>
            <w:tcW w:w="1503" w:type="dxa"/>
          </w:tcPr>
          <w:p w14:paraId="5D3F41E1" w14:textId="77777777" w:rsidR="00977664" w:rsidRPr="00A761F8" w:rsidRDefault="00977664" w:rsidP="00C02C8F">
            <w:pPr>
              <w:jc w:val="center"/>
              <w:rPr>
                <w:bCs/>
                <w:sz w:val="18"/>
                <w:szCs w:val="18"/>
              </w:rPr>
            </w:pPr>
            <w:r w:rsidRPr="00A761F8">
              <w:rPr>
                <w:bCs/>
                <w:sz w:val="18"/>
                <w:szCs w:val="18"/>
              </w:rPr>
              <w:t>4</w:t>
            </w:r>
          </w:p>
        </w:tc>
        <w:tc>
          <w:tcPr>
            <w:tcW w:w="1503" w:type="dxa"/>
          </w:tcPr>
          <w:p w14:paraId="5ECF401C" w14:textId="77777777" w:rsidR="00977664" w:rsidRPr="00A761F8" w:rsidRDefault="00977664" w:rsidP="00C02C8F">
            <w:pPr>
              <w:jc w:val="center"/>
              <w:rPr>
                <w:bCs/>
                <w:sz w:val="18"/>
                <w:szCs w:val="18"/>
              </w:rPr>
            </w:pPr>
            <w:r w:rsidRPr="00A761F8">
              <w:rPr>
                <w:bCs/>
                <w:sz w:val="18"/>
                <w:szCs w:val="18"/>
              </w:rPr>
              <w:t>-2</w:t>
            </w:r>
          </w:p>
        </w:tc>
      </w:tr>
      <w:tr w:rsidR="00977664" w:rsidRPr="00A761F8" w14:paraId="4001FC32" w14:textId="77777777" w:rsidTr="00977664">
        <w:tc>
          <w:tcPr>
            <w:tcW w:w="1502" w:type="dxa"/>
          </w:tcPr>
          <w:p w14:paraId="2CAC2D7E" w14:textId="77777777" w:rsidR="00977664" w:rsidRPr="00A761F8" w:rsidRDefault="00977664" w:rsidP="00C02C8F">
            <w:pPr>
              <w:jc w:val="center"/>
              <w:rPr>
                <w:bCs/>
                <w:sz w:val="18"/>
                <w:szCs w:val="18"/>
              </w:rPr>
            </w:pPr>
            <w:r w:rsidRPr="00A761F8">
              <w:rPr>
                <w:bCs/>
                <w:sz w:val="18"/>
                <w:szCs w:val="18"/>
              </w:rPr>
              <w:t>6</w:t>
            </w:r>
          </w:p>
        </w:tc>
        <w:tc>
          <w:tcPr>
            <w:tcW w:w="1502" w:type="dxa"/>
            <w:tcBorders>
              <w:right w:val="single" w:sz="4" w:space="0" w:color="auto"/>
            </w:tcBorders>
          </w:tcPr>
          <w:p w14:paraId="645A13F0" w14:textId="77777777" w:rsidR="00977664" w:rsidRPr="00A761F8" w:rsidRDefault="00977664" w:rsidP="00C02C8F">
            <w:pPr>
              <w:jc w:val="center"/>
              <w:rPr>
                <w:bCs/>
                <w:sz w:val="18"/>
                <w:szCs w:val="18"/>
              </w:rPr>
            </w:pPr>
            <w:r w:rsidRPr="00A761F8">
              <w:rPr>
                <w:bCs/>
                <w:sz w:val="18"/>
                <w:szCs w:val="18"/>
              </w:rPr>
              <w:t>-2</w:t>
            </w:r>
          </w:p>
        </w:tc>
        <w:tc>
          <w:tcPr>
            <w:tcW w:w="1503" w:type="dxa"/>
            <w:tcBorders>
              <w:left w:val="single" w:sz="4" w:space="0" w:color="auto"/>
            </w:tcBorders>
          </w:tcPr>
          <w:p w14:paraId="6EBBBDDE" w14:textId="77777777" w:rsidR="00977664" w:rsidRPr="00A761F8" w:rsidRDefault="00977664" w:rsidP="00C02C8F">
            <w:pPr>
              <w:jc w:val="center"/>
              <w:rPr>
                <w:bCs/>
                <w:sz w:val="18"/>
                <w:szCs w:val="18"/>
              </w:rPr>
            </w:pPr>
            <w:r w:rsidRPr="00A761F8">
              <w:rPr>
                <w:bCs/>
                <w:sz w:val="18"/>
                <w:szCs w:val="18"/>
              </w:rPr>
              <w:t>5</w:t>
            </w:r>
          </w:p>
        </w:tc>
        <w:tc>
          <w:tcPr>
            <w:tcW w:w="1503" w:type="dxa"/>
          </w:tcPr>
          <w:p w14:paraId="336FEC21" w14:textId="77777777" w:rsidR="00977664" w:rsidRPr="00A761F8" w:rsidRDefault="00977664" w:rsidP="00C02C8F">
            <w:pPr>
              <w:jc w:val="center"/>
              <w:rPr>
                <w:bCs/>
                <w:sz w:val="18"/>
                <w:szCs w:val="18"/>
              </w:rPr>
            </w:pPr>
            <w:r w:rsidRPr="00A761F8">
              <w:rPr>
                <w:bCs/>
                <w:sz w:val="18"/>
                <w:szCs w:val="18"/>
              </w:rPr>
              <w:t>3</w:t>
            </w:r>
          </w:p>
        </w:tc>
        <w:tc>
          <w:tcPr>
            <w:tcW w:w="1503" w:type="dxa"/>
          </w:tcPr>
          <w:p w14:paraId="67C278D7" w14:textId="77777777" w:rsidR="00977664" w:rsidRPr="00A761F8" w:rsidRDefault="00977664" w:rsidP="00C02C8F">
            <w:pPr>
              <w:jc w:val="center"/>
              <w:rPr>
                <w:bCs/>
                <w:sz w:val="18"/>
                <w:szCs w:val="18"/>
              </w:rPr>
            </w:pPr>
            <w:r w:rsidRPr="00A761F8">
              <w:rPr>
                <w:bCs/>
                <w:sz w:val="18"/>
                <w:szCs w:val="18"/>
              </w:rPr>
              <w:t>7</w:t>
            </w:r>
          </w:p>
        </w:tc>
        <w:tc>
          <w:tcPr>
            <w:tcW w:w="1503" w:type="dxa"/>
          </w:tcPr>
          <w:p w14:paraId="2AA2BB8E" w14:textId="77777777" w:rsidR="00977664" w:rsidRPr="00A761F8" w:rsidRDefault="00977664" w:rsidP="00C02C8F">
            <w:pPr>
              <w:jc w:val="center"/>
              <w:rPr>
                <w:bCs/>
                <w:sz w:val="18"/>
                <w:szCs w:val="18"/>
              </w:rPr>
            </w:pPr>
            <w:r w:rsidRPr="00A761F8">
              <w:rPr>
                <w:bCs/>
                <w:sz w:val="18"/>
                <w:szCs w:val="18"/>
              </w:rPr>
              <w:t>7</w:t>
            </w:r>
          </w:p>
        </w:tc>
      </w:tr>
      <w:tr w:rsidR="00977664" w:rsidRPr="00A761F8" w14:paraId="3E24C81C" w14:textId="77777777" w:rsidTr="00977664">
        <w:tc>
          <w:tcPr>
            <w:tcW w:w="1502" w:type="dxa"/>
          </w:tcPr>
          <w:p w14:paraId="2734DA30" w14:textId="77777777" w:rsidR="00977664" w:rsidRPr="00A761F8" w:rsidRDefault="00977664" w:rsidP="00C02C8F">
            <w:pPr>
              <w:jc w:val="center"/>
              <w:rPr>
                <w:bCs/>
                <w:sz w:val="18"/>
                <w:szCs w:val="18"/>
              </w:rPr>
            </w:pPr>
            <w:r w:rsidRPr="00A761F8">
              <w:rPr>
                <w:bCs/>
                <w:sz w:val="18"/>
                <w:szCs w:val="18"/>
              </w:rPr>
              <w:t>7</w:t>
            </w:r>
          </w:p>
        </w:tc>
        <w:tc>
          <w:tcPr>
            <w:tcW w:w="1502" w:type="dxa"/>
            <w:tcBorders>
              <w:right w:val="single" w:sz="4" w:space="0" w:color="auto"/>
            </w:tcBorders>
          </w:tcPr>
          <w:p w14:paraId="31A33CFA" w14:textId="77777777" w:rsidR="00977664" w:rsidRPr="00A761F8" w:rsidRDefault="00977664" w:rsidP="00C02C8F">
            <w:pPr>
              <w:jc w:val="center"/>
              <w:rPr>
                <w:bCs/>
                <w:sz w:val="18"/>
                <w:szCs w:val="18"/>
              </w:rPr>
            </w:pPr>
            <w:r w:rsidRPr="00A761F8">
              <w:rPr>
                <w:bCs/>
                <w:sz w:val="18"/>
                <w:szCs w:val="18"/>
              </w:rPr>
              <w:t>4</w:t>
            </w:r>
          </w:p>
        </w:tc>
        <w:tc>
          <w:tcPr>
            <w:tcW w:w="1503" w:type="dxa"/>
            <w:tcBorders>
              <w:left w:val="single" w:sz="4" w:space="0" w:color="auto"/>
            </w:tcBorders>
          </w:tcPr>
          <w:p w14:paraId="5E671EFB" w14:textId="77777777" w:rsidR="00977664" w:rsidRPr="00A761F8" w:rsidRDefault="00977664" w:rsidP="00C02C8F">
            <w:pPr>
              <w:jc w:val="center"/>
              <w:rPr>
                <w:bCs/>
                <w:sz w:val="18"/>
                <w:szCs w:val="18"/>
              </w:rPr>
            </w:pPr>
            <w:r w:rsidRPr="00A761F8">
              <w:rPr>
                <w:bCs/>
                <w:sz w:val="18"/>
                <w:szCs w:val="18"/>
              </w:rPr>
              <w:t>6</w:t>
            </w:r>
          </w:p>
        </w:tc>
        <w:tc>
          <w:tcPr>
            <w:tcW w:w="1503" w:type="dxa"/>
          </w:tcPr>
          <w:p w14:paraId="351C6D0F" w14:textId="77777777" w:rsidR="00977664" w:rsidRPr="00A761F8" w:rsidRDefault="00977664" w:rsidP="00C02C8F">
            <w:pPr>
              <w:jc w:val="center"/>
              <w:rPr>
                <w:bCs/>
                <w:sz w:val="18"/>
                <w:szCs w:val="18"/>
              </w:rPr>
            </w:pPr>
            <w:r w:rsidRPr="00A761F8">
              <w:rPr>
                <w:bCs/>
                <w:sz w:val="18"/>
                <w:szCs w:val="18"/>
              </w:rPr>
              <w:t>4</w:t>
            </w:r>
          </w:p>
        </w:tc>
        <w:tc>
          <w:tcPr>
            <w:tcW w:w="1503" w:type="dxa"/>
          </w:tcPr>
          <w:p w14:paraId="1E90A52E" w14:textId="77777777" w:rsidR="00977664" w:rsidRPr="00A761F8" w:rsidRDefault="00977664" w:rsidP="00C02C8F">
            <w:pPr>
              <w:jc w:val="center"/>
              <w:rPr>
                <w:bCs/>
                <w:sz w:val="18"/>
                <w:szCs w:val="18"/>
              </w:rPr>
            </w:pPr>
            <w:r w:rsidRPr="00A761F8">
              <w:rPr>
                <w:bCs/>
                <w:sz w:val="18"/>
                <w:szCs w:val="18"/>
              </w:rPr>
              <w:t>8</w:t>
            </w:r>
          </w:p>
        </w:tc>
        <w:tc>
          <w:tcPr>
            <w:tcW w:w="1503" w:type="dxa"/>
          </w:tcPr>
          <w:p w14:paraId="2E1D8930" w14:textId="77777777" w:rsidR="00977664" w:rsidRPr="00A761F8" w:rsidRDefault="00977664" w:rsidP="00C02C8F">
            <w:pPr>
              <w:jc w:val="center"/>
              <w:rPr>
                <w:bCs/>
                <w:sz w:val="18"/>
                <w:szCs w:val="18"/>
              </w:rPr>
            </w:pPr>
            <w:r w:rsidRPr="00A761F8">
              <w:rPr>
                <w:bCs/>
                <w:sz w:val="18"/>
                <w:szCs w:val="18"/>
              </w:rPr>
              <w:t>-4</w:t>
            </w:r>
          </w:p>
        </w:tc>
      </w:tr>
      <w:tr w:rsidR="00977664" w:rsidRPr="00A761F8" w14:paraId="5C0E8B9C" w14:textId="77777777" w:rsidTr="00977664">
        <w:tc>
          <w:tcPr>
            <w:tcW w:w="1502" w:type="dxa"/>
          </w:tcPr>
          <w:p w14:paraId="241DB390" w14:textId="77777777" w:rsidR="00977664" w:rsidRPr="00A761F8" w:rsidRDefault="00977664" w:rsidP="00C02C8F">
            <w:pPr>
              <w:jc w:val="center"/>
              <w:rPr>
                <w:bCs/>
                <w:sz w:val="18"/>
                <w:szCs w:val="18"/>
              </w:rPr>
            </w:pPr>
            <w:r w:rsidRPr="00A761F8">
              <w:rPr>
                <w:bCs/>
                <w:sz w:val="18"/>
                <w:szCs w:val="18"/>
              </w:rPr>
              <w:t>10</w:t>
            </w:r>
          </w:p>
        </w:tc>
        <w:tc>
          <w:tcPr>
            <w:tcW w:w="1502" w:type="dxa"/>
            <w:tcBorders>
              <w:right w:val="single" w:sz="4" w:space="0" w:color="auto"/>
            </w:tcBorders>
          </w:tcPr>
          <w:p w14:paraId="227E698A" w14:textId="77777777" w:rsidR="00977664" w:rsidRPr="00A761F8" w:rsidRDefault="00977664" w:rsidP="00C02C8F">
            <w:pPr>
              <w:jc w:val="center"/>
              <w:rPr>
                <w:bCs/>
                <w:sz w:val="18"/>
                <w:szCs w:val="18"/>
              </w:rPr>
            </w:pPr>
            <w:r w:rsidRPr="00A761F8">
              <w:rPr>
                <w:bCs/>
                <w:sz w:val="18"/>
                <w:szCs w:val="18"/>
              </w:rPr>
              <w:t>1</w:t>
            </w:r>
          </w:p>
        </w:tc>
        <w:tc>
          <w:tcPr>
            <w:tcW w:w="1503" w:type="dxa"/>
            <w:tcBorders>
              <w:left w:val="single" w:sz="4" w:space="0" w:color="auto"/>
            </w:tcBorders>
          </w:tcPr>
          <w:p w14:paraId="66A39EE2" w14:textId="77777777" w:rsidR="00977664" w:rsidRPr="00A761F8" w:rsidRDefault="00977664" w:rsidP="00C02C8F">
            <w:pPr>
              <w:jc w:val="center"/>
              <w:rPr>
                <w:bCs/>
                <w:sz w:val="18"/>
                <w:szCs w:val="18"/>
              </w:rPr>
            </w:pPr>
          </w:p>
        </w:tc>
        <w:tc>
          <w:tcPr>
            <w:tcW w:w="1503" w:type="dxa"/>
          </w:tcPr>
          <w:p w14:paraId="2E133672" w14:textId="77777777" w:rsidR="00977664" w:rsidRPr="00A761F8" w:rsidRDefault="00977664" w:rsidP="00C02C8F">
            <w:pPr>
              <w:jc w:val="center"/>
              <w:rPr>
                <w:bCs/>
                <w:sz w:val="18"/>
                <w:szCs w:val="18"/>
              </w:rPr>
            </w:pPr>
          </w:p>
        </w:tc>
        <w:tc>
          <w:tcPr>
            <w:tcW w:w="1503" w:type="dxa"/>
          </w:tcPr>
          <w:p w14:paraId="321C6DEF" w14:textId="77777777" w:rsidR="00977664" w:rsidRPr="00A761F8" w:rsidRDefault="00977664" w:rsidP="00C02C8F">
            <w:pPr>
              <w:jc w:val="center"/>
              <w:rPr>
                <w:bCs/>
                <w:sz w:val="18"/>
                <w:szCs w:val="18"/>
              </w:rPr>
            </w:pPr>
          </w:p>
        </w:tc>
        <w:tc>
          <w:tcPr>
            <w:tcW w:w="1503" w:type="dxa"/>
          </w:tcPr>
          <w:p w14:paraId="07B23E59" w14:textId="77777777" w:rsidR="00977664" w:rsidRPr="00A761F8" w:rsidRDefault="00977664" w:rsidP="00977664">
            <w:pPr>
              <w:keepNext/>
              <w:jc w:val="center"/>
              <w:rPr>
                <w:bCs/>
                <w:sz w:val="18"/>
                <w:szCs w:val="18"/>
              </w:rPr>
            </w:pPr>
          </w:p>
        </w:tc>
      </w:tr>
    </w:tbl>
    <w:p w14:paraId="13D4DB16" w14:textId="77777777" w:rsidR="003132D2" w:rsidRDefault="003132D2" w:rsidP="003553F6"/>
    <w:p w14:paraId="4C6A9DD0" w14:textId="3CF3F275" w:rsidR="00D908BA" w:rsidRPr="00BE02F2" w:rsidRDefault="00D908BA" w:rsidP="003553F6">
      <w:r w:rsidRPr="00BE02F2">
        <w:t>The second expectation was that cluster A groups would score better than cluster B groups, because cluster A groups receive</w:t>
      </w:r>
      <w:r>
        <w:t xml:space="preserve">d </w:t>
      </w:r>
      <w:r w:rsidRPr="00BE02F2">
        <w:t>the assignments in parts</w:t>
      </w:r>
      <w:r>
        <w:t xml:space="preserve"> (intervention 2</w:t>
      </w:r>
      <w:r w:rsidRPr="00BE02F2">
        <w:t>). With regard to this expectation, the findings show that this is largely confirmed. As can be seen in</w:t>
      </w:r>
      <w:r w:rsidR="001B52DC">
        <w:t xml:space="preserve"> </w:t>
      </w:r>
      <w:r w:rsidR="001B52DC">
        <w:fldChar w:fldCharType="begin"/>
      </w:r>
      <w:r w:rsidR="001B52DC">
        <w:instrText xml:space="preserve"> REF _Ref46841700 \h </w:instrText>
      </w:r>
      <w:r w:rsidR="001B52DC">
        <w:fldChar w:fldCharType="separate"/>
      </w:r>
      <w:r w:rsidR="0045391A">
        <w:t xml:space="preserve">Table </w:t>
      </w:r>
      <w:r w:rsidR="0045391A">
        <w:rPr>
          <w:noProof/>
        </w:rPr>
        <w:t>2</w:t>
      </w:r>
      <w:r w:rsidR="001B52DC">
        <w:fldChar w:fldCharType="end"/>
      </w:r>
      <w:r w:rsidRPr="00BE02F2">
        <w:t xml:space="preserve">, </w:t>
      </w:r>
      <w:r>
        <w:t xml:space="preserve">the </w:t>
      </w:r>
      <w:r w:rsidRPr="00BE02F2">
        <w:t xml:space="preserve">four groups in cluster A scored </w:t>
      </w:r>
      <w:r>
        <w:t xml:space="preserve">much </w:t>
      </w:r>
      <w:r w:rsidRPr="00BE02F2">
        <w:t>better than groups in cluster B. There is</w:t>
      </w:r>
      <w:r>
        <w:t xml:space="preserve">, </w:t>
      </w:r>
      <w:r w:rsidRPr="00BE02F2">
        <w:t>however</w:t>
      </w:r>
      <w:r>
        <w:t>,</w:t>
      </w:r>
      <w:r w:rsidRPr="00BE02F2">
        <w:t xml:space="preserve"> one exception: group 7 in cluster B scores the maximum score possible, and higher than the highest </w:t>
      </w:r>
      <w:r>
        <w:t>score</w:t>
      </w:r>
      <w:r w:rsidRPr="00BE02F2">
        <w:t xml:space="preserve"> in cluster A.</w:t>
      </w:r>
      <w:r>
        <w:t xml:space="preserve"> </w:t>
      </w:r>
      <w:r w:rsidR="0098633E">
        <w:t>N</w:t>
      </w:r>
      <w:r w:rsidRPr="00BE02F2">
        <w:t xml:space="preserve">evertheless, based on these results, it seems likely that separating and sequencing instructions indeed improves learning outcomes. </w:t>
      </w:r>
    </w:p>
    <w:p w14:paraId="47EF40F6" w14:textId="1B543B0F" w:rsidR="00E4253F" w:rsidRPr="00BE02F2" w:rsidRDefault="004E1799" w:rsidP="003553F6">
      <w:pPr>
        <w:pStyle w:val="Kop1"/>
      </w:pPr>
      <w:r w:rsidRPr="00BE02F2">
        <w:t xml:space="preserve">Explaining </w:t>
      </w:r>
      <w:r w:rsidR="00E93322">
        <w:t xml:space="preserve">the </w:t>
      </w:r>
      <w:r w:rsidRPr="00BE02F2">
        <w:t>findings</w:t>
      </w:r>
    </w:p>
    <w:p w14:paraId="3FCD4CF3" w14:textId="00723BD4" w:rsidR="002073D5" w:rsidRDefault="003553F6" w:rsidP="003553F6">
      <w:r w:rsidRPr="00BE02F2">
        <w:t xml:space="preserve">The findings show that the groups in </w:t>
      </w:r>
      <w:r w:rsidR="00417622" w:rsidRPr="00BE02F2">
        <w:t>Course II</w:t>
      </w:r>
      <w:r w:rsidRPr="00BE02F2">
        <w:t xml:space="preserve"> score both higher and lower than those in </w:t>
      </w:r>
      <w:r w:rsidR="00417622" w:rsidRPr="00BE02F2">
        <w:t>Course I</w:t>
      </w:r>
      <w:r w:rsidRPr="00BE02F2">
        <w:t>. F</w:t>
      </w:r>
      <w:r w:rsidR="008B74A2">
        <w:t>our</w:t>
      </w:r>
      <w:r w:rsidRPr="00BE02F2">
        <w:t xml:space="preserve"> of the eight groups of </w:t>
      </w:r>
      <w:r w:rsidR="00417622" w:rsidRPr="00BE02F2">
        <w:t>Course II</w:t>
      </w:r>
      <w:r w:rsidRPr="00BE02F2">
        <w:t xml:space="preserve"> score similar, or higher, than the best groups of </w:t>
      </w:r>
      <w:r w:rsidR="00417622" w:rsidRPr="00BE02F2">
        <w:t>Course I</w:t>
      </w:r>
      <w:r w:rsidRPr="00BE02F2">
        <w:t xml:space="preserve">. This is in keeping with expectations and implies that the interventions have an effect. However, it was not expected that three of the eight groups of </w:t>
      </w:r>
      <w:r w:rsidR="00417622" w:rsidRPr="00BE02F2">
        <w:t>Course II</w:t>
      </w:r>
      <w:r w:rsidRPr="00BE02F2">
        <w:t xml:space="preserve"> scored considerably lower than those of </w:t>
      </w:r>
      <w:r w:rsidR="00417622" w:rsidRPr="00BE02F2">
        <w:t>Course I</w:t>
      </w:r>
      <w:r w:rsidRPr="00BE02F2">
        <w:t xml:space="preserve">. </w:t>
      </w:r>
      <w:r w:rsidR="00D908BA">
        <w:t>An</w:t>
      </w:r>
      <w:r w:rsidRPr="00BE02F2">
        <w:t xml:space="preserve"> explanation why the scores of </w:t>
      </w:r>
      <w:r w:rsidR="00376233">
        <w:t xml:space="preserve">the three </w:t>
      </w:r>
      <w:r w:rsidRPr="00BE02F2">
        <w:t xml:space="preserve">groups in </w:t>
      </w:r>
      <w:r w:rsidR="00417622" w:rsidRPr="00BE02F2">
        <w:t>Course II</w:t>
      </w:r>
      <w:r w:rsidRPr="00BE02F2">
        <w:t xml:space="preserve"> are </w:t>
      </w:r>
      <w:r w:rsidR="00376233">
        <w:t xml:space="preserve">so </w:t>
      </w:r>
      <w:r w:rsidRPr="00BE02F2">
        <w:t>low</w:t>
      </w:r>
      <w:r w:rsidR="00376233">
        <w:t>, c</w:t>
      </w:r>
      <w:r w:rsidRPr="00BE02F2">
        <w:t xml:space="preserve">ould be that </w:t>
      </w:r>
      <w:r w:rsidR="00376233">
        <w:t>these</w:t>
      </w:r>
      <w:r w:rsidRPr="00BE02F2">
        <w:t xml:space="preserve"> groups had a less effective group composition. For example, these groups could consist of weak students, or of students that could not work together well. This seems a plausible explanation, because literature has shown that the composition of groups can be of great importance for performance, not only in professional life, but also in higher education </w:t>
      </w:r>
      <w:r w:rsidRPr="00BE02F2">
        <w:fldChar w:fldCharType="begin"/>
      </w:r>
      <w:r w:rsidR="000A3166">
        <w:instrText xml:space="preserve"> ADDIN EN.CITE &lt;EndNote&gt;&lt;Cite&gt;&lt;Author&gt;Smith&lt;/Author&gt;&lt;Year&gt;2011&lt;/Year&gt;&lt;RecNum&gt;244&lt;/RecNum&gt;&lt;DisplayText&gt;[9]&lt;/DisplayText&gt;&lt;record&gt;&lt;rec-number&gt;244&lt;/rec-number&gt;&lt;foreign-keys&gt;&lt;key app="EN" db-id="9xtszadf69pvz6es9xpv9e23x9pes0vf5p00" timestamp="1547460727"&gt;244&lt;/key&gt;&lt;/foreign-keys&gt;&lt;ref-type name="Magazine Article"&gt;19&lt;/ref-type&gt;&lt;contributors&gt;&lt;authors&gt;&lt;author&gt;Smith, G.&lt;/author&gt;&lt;author&gt;Yates, P.&lt;/author&gt;&lt;/authors&gt;&lt;/contributors&gt;&lt;titles&gt;&lt;title&gt;Team Role Theory in Higher Education&lt;/title&gt;&lt;secondary-title&gt;Training Journal&lt;/secondary-title&gt;&lt;/titles&gt;&lt;dates&gt;&lt;year&gt;2011&lt;/year&gt;&lt;pub-dates&gt;&lt;date&gt;April&lt;/date&gt;&lt;/pub-dates&gt;&lt;/dates&gt;&lt;pub-location&gt;London&lt;/pub-location&gt;&lt;publisher&gt;Training Journal&lt;/publisher&gt;&lt;urls&gt;&lt;/urls&gt;&lt;/record&gt;&lt;/Cite&gt;&lt;/EndNote&gt;</w:instrText>
      </w:r>
      <w:r w:rsidRPr="00BE02F2">
        <w:fldChar w:fldCharType="separate"/>
      </w:r>
      <w:r w:rsidR="000A3166">
        <w:rPr>
          <w:noProof/>
        </w:rPr>
        <w:t>[9]</w:t>
      </w:r>
      <w:r w:rsidRPr="00BE02F2">
        <w:fldChar w:fldCharType="end"/>
      </w:r>
      <w:r w:rsidRPr="00BE02F2">
        <w:t xml:space="preserve">. </w:t>
      </w:r>
    </w:p>
    <w:p w14:paraId="29E5AA5D" w14:textId="77777777" w:rsidR="002073D5" w:rsidRDefault="002073D5" w:rsidP="003553F6"/>
    <w:p w14:paraId="19264336" w14:textId="2353334D" w:rsidR="003553F6" w:rsidRDefault="003553F6" w:rsidP="003553F6">
      <w:r w:rsidRPr="00BE02F2">
        <w:t xml:space="preserve">Another finding related to the effectiveness of the </w:t>
      </w:r>
      <w:r w:rsidR="00AC502E" w:rsidRPr="00BE02F2">
        <w:t>interventions</w:t>
      </w:r>
      <w:r w:rsidRPr="00BE02F2">
        <w:t xml:space="preserve"> is that in </w:t>
      </w:r>
      <w:r w:rsidR="00417622" w:rsidRPr="00BE02F2">
        <w:t>Course II</w:t>
      </w:r>
      <w:r w:rsidRPr="00BE02F2">
        <w:t xml:space="preserve">, </w:t>
      </w:r>
      <w:r w:rsidR="00B9624F" w:rsidRPr="00BE02F2">
        <w:t>cluster A</w:t>
      </w:r>
      <w:r w:rsidRPr="00BE02F2">
        <w:t xml:space="preserve"> groups scored considerably higher than Cluster B groups. This means that, as expected</w:t>
      </w:r>
      <w:r w:rsidR="005D0CFF">
        <w:t>,</w:t>
      </w:r>
      <w:r w:rsidRPr="00BE02F2">
        <w:t xml:space="preserve"> chunking the assignment seemed to have had an effect, as this was the only difference between </w:t>
      </w:r>
      <w:r w:rsidR="00B9624F" w:rsidRPr="00BE02F2">
        <w:t>cluster A</w:t>
      </w:r>
      <w:r w:rsidRPr="00BE02F2">
        <w:t xml:space="preserve"> and B. This is also in keeping with literature, in particular with the Cognitive Load Theory </w:t>
      </w:r>
      <w:r w:rsidRPr="00BE02F2">
        <w:fldChar w:fldCharType="begin"/>
      </w:r>
      <w:r w:rsidR="000A3166">
        <w:instrText xml:space="preserve"> ADDIN EN.CITE &lt;EndNote&gt;&lt;Cite&gt;&lt;Author&gt;Sweller&lt;/Author&gt;&lt;Year&gt;1988&lt;/Year&gt;&lt;RecNum&gt;240&lt;/RecNum&gt;&lt;DisplayText&gt;[10, 11]&lt;/DisplayText&gt;&lt;record&gt;&lt;rec-number&gt;240&lt;/rec-number&gt;&lt;foreign-keys&gt;&lt;key app="EN" db-id="9xtszadf69pvz6es9xpv9e23x9pes0vf5p00" timestamp="1547458735"&gt;240&lt;/key&gt;&lt;/foreign-keys&gt;&lt;ref-type name="Journal Article"&gt;17&lt;/ref-type&gt;&lt;contributors&gt;&lt;authors&gt;&lt;author&gt;Sweller, John&lt;/author&gt;&lt;/authors&gt;&lt;/contributors&gt;&lt;titles&gt;&lt;title&gt;Cognitive Load During Problem Solving: Effects on Learning&lt;/title&gt;&lt;secondary-title&gt;Cognitive Science&lt;/secondary-title&gt;&lt;/titles&gt;&lt;periodical&gt;&lt;full-title&gt;Cognitive Science&lt;/full-title&gt;&lt;/periodical&gt;&lt;pages&gt;257-285&lt;/pages&gt;&lt;volume&gt;12&lt;/volume&gt;&lt;number&gt;2&lt;/number&gt;&lt;dates&gt;&lt;year&gt;1988&lt;/year&gt;&lt;/dates&gt;&lt;urls&gt;&lt;related-urls&gt;&lt;url&gt;https://onlinelibrary.wiley.com/doi/abs/10.1207/s15516709cog1202_4&lt;/url&gt;&lt;/related-urls&gt;&lt;/urls&gt;&lt;electronic-resource-num&gt;doi:10.1207/s15516709cog1202_4&lt;/electronic-resource-num&gt;&lt;/record&gt;&lt;/Cite&gt;&lt;Cite&gt;&lt;Author&gt;de Jong&lt;/Author&gt;&lt;Year&gt;2010&lt;/Year&gt;&lt;RecNum&gt;245&lt;/RecNum&gt;&lt;record&gt;&lt;rec-number&gt;245&lt;/rec-number&gt;&lt;foreign-keys&gt;&lt;key app="EN" db-id="9xtszadf69pvz6es9xpv9e23x9pes0vf5p00" timestamp="1547460952"&gt;245&lt;/key&gt;&lt;/foreign-keys&gt;&lt;ref-type name="Journal Article"&gt;17&lt;/ref-type&gt;&lt;contributors&gt;&lt;authors&gt;&lt;author&gt;de Jong, Ton&lt;/author&gt;&lt;/authors&gt;&lt;/contributors&gt;&lt;titles&gt;&lt;title&gt;Cognitive load theory, educational research, and instructional design: some food for thought&lt;/title&gt;&lt;secondary-title&gt;Instructional Science&lt;/secondary-title&gt;&lt;/titles&gt;&lt;periodical&gt;&lt;full-title&gt;Instructional Science&lt;/full-title&gt;&lt;/periodical&gt;&lt;pages&gt;105-134&lt;/pages&gt;&lt;volume&gt;38&lt;/volume&gt;&lt;number&gt;2&lt;/number&gt;&lt;dates&gt;&lt;year&gt;2010&lt;/year&gt;&lt;pub-dates&gt;&lt;date&gt;March 01&lt;/date&gt;&lt;/pub-dates&gt;&lt;/dates&gt;&lt;isbn&gt;1573-1952&lt;/isbn&gt;&lt;label&gt;de Jong2010&lt;/label&gt;&lt;work-type&gt;journal article&lt;/work-type&gt;&lt;urls&gt;&lt;related-urls&gt;&lt;url&gt;https://doi.org/10.1007/s11251-009-9110-0&lt;/url&gt;&lt;/related-urls&gt;&lt;/urls&gt;&lt;electronic-resource-num&gt;10.1007/s11251-009-9110-0&lt;/electronic-resource-num&gt;&lt;/record&gt;&lt;/Cite&gt;&lt;/EndNote&gt;</w:instrText>
      </w:r>
      <w:r w:rsidRPr="00BE02F2">
        <w:fldChar w:fldCharType="separate"/>
      </w:r>
      <w:r w:rsidR="000A3166">
        <w:rPr>
          <w:noProof/>
        </w:rPr>
        <w:t>[10, 11]</w:t>
      </w:r>
      <w:r w:rsidRPr="00BE02F2">
        <w:fldChar w:fldCharType="end"/>
      </w:r>
      <w:r w:rsidRPr="00BE02F2">
        <w:t>. Although not undisputed, th</w:t>
      </w:r>
      <w:r w:rsidR="005D0CFF">
        <w:t>is</w:t>
      </w:r>
      <w:r w:rsidRPr="00BE02F2">
        <w:t xml:space="preserve"> theory states, among others, that presenting material in a simple-to-complex, or part-whole sequence, reduces cognitive load and increases performance of groups </w:t>
      </w:r>
      <w:r w:rsidRPr="00BE02F2">
        <w:fldChar w:fldCharType="begin"/>
      </w:r>
      <w:r w:rsidR="000A3166">
        <w:instrText xml:space="preserve"> ADDIN EN.CITE &lt;EndNote&gt;&lt;Cite&gt;&lt;Author&gt;Gerjets&lt;/Author&gt;&lt;Year&gt;2004&lt;/Year&gt;&lt;RecNum&gt;237&lt;/RecNum&gt;&lt;DisplayText&gt;[12]&lt;/DisplayText&gt;&lt;record&gt;&lt;rec-number&gt;237&lt;/rec-number&gt;&lt;foreign-keys&gt;&lt;key app="EN" db-id="9xtszadf69pvz6es9xpv9e23x9pes0vf5p00" timestamp="1547458275"&gt;237&lt;/key&gt;&lt;/foreign-keys&gt;&lt;ref-type name="Journal Article"&gt;17&lt;/ref-type&gt;&lt;contributors&gt;&lt;authors&gt;&lt;author&gt;Gerjets, Peter&lt;/author&gt;&lt;author&gt;Scheiter, Katharina&lt;/author&gt;&lt;author&gt;Catrambone, Richard&lt;/author&gt;&lt;/authors&gt;&lt;/contributors&gt;&lt;titles&gt;&lt;title&gt;Designing Instructional Examples to Reduce Intrinsic Cognitive Load: Molar versus Modular Presentation of Solution Procedures&lt;/title&gt;&lt;secondary-title&gt;Instructional Science&lt;/secondary-title&gt;&lt;/titles&gt;&lt;periodical&gt;&lt;full-title&gt;Instructional Science&lt;/full-title&gt;&lt;/periodical&gt;&lt;pages&gt;33-58&lt;/pages&gt;&lt;volume&gt;32&lt;/volume&gt;&lt;number&gt;1&lt;/number&gt;&lt;dates&gt;&lt;year&gt;2004&lt;/year&gt;&lt;pub-dates&gt;&lt;date&gt;January 01&lt;/date&gt;&lt;/pub-dates&gt;&lt;/dates&gt;&lt;isbn&gt;1573-1952&lt;/isbn&gt;&lt;label&gt;Gerjets2004&lt;/label&gt;&lt;work-type&gt;journal article&lt;/work-type&gt;&lt;urls&gt;&lt;related-urls&gt;&lt;url&gt;https://doi.org/10.1023/B:TRUC.0000021809.10236.71&lt;/url&gt;&lt;/related-urls&gt;&lt;/urls&gt;&lt;electronic-resource-num&gt;10.1023/b:Truc.0000021809.10236.71&lt;/electronic-resource-num&gt;&lt;/record&gt;&lt;/Cite&gt;&lt;/EndNote&gt;</w:instrText>
      </w:r>
      <w:r w:rsidRPr="00BE02F2">
        <w:fldChar w:fldCharType="separate"/>
      </w:r>
      <w:r w:rsidR="000A3166">
        <w:rPr>
          <w:noProof/>
        </w:rPr>
        <w:t>[12]</w:t>
      </w:r>
      <w:r w:rsidRPr="00BE02F2">
        <w:fldChar w:fldCharType="end"/>
      </w:r>
      <w:r w:rsidRPr="00BE02F2">
        <w:t xml:space="preserve">. This could explain the differences in scores between the groups in cluster A and B. </w:t>
      </w:r>
      <w:r w:rsidRPr="00BE02F2">
        <w:lastRenderedPageBreak/>
        <w:t>However, there is also con</w:t>
      </w:r>
      <w:r w:rsidR="004E1799" w:rsidRPr="00BE02F2">
        <w:t>trasting</w:t>
      </w:r>
      <w:r w:rsidRPr="00BE02F2">
        <w:t xml:space="preserve"> evidence that does not support the idea that chucking and sequencing the assignment has an effect. Group 7 in cluster B has the highest score observed during this entire research, but this group has not received the instructions in parts and in sequence, but all at once. Based on expectations and Cognitive Load Theory, this group should not score so high. Most likely, group 7 is just a great group. A group that might have scored high under any circumstances. </w:t>
      </w:r>
      <w:r w:rsidR="00D908BA">
        <w:t>This also supports the idea that group composition is very important.</w:t>
      </w:r>
    </w:p>
    <w:p w14:paraId="4003BF48" w14:textId="472D34F0" w:rsidR="00A574BA" w:rsidRPr="00BE02F2" w:rsidRDefault="004E1799" w:rsidP="00A574BA">
      <w:pPr>
        <w:pStyle w:val="Kop1"/>
      </w:pPr>
      <w:r w:rsidRPr="00BE02F2">
        <w:t>Discussion and conclusion</w:t>
      </w:r>
    </w:p>
    <w:p w14:paraId="7730B88D" w14:textId="01D2B717" w:rsidR="00256924" w:rsidRPr="00BE02F2" w:rsidRDefault="00256924" w:rsidP="00256924">
      <w:r w:rsidRPr="00BE02F2">
        <w:t xml:space="preserve">There are some final remarks that need to be pointed out to put the research in the appropriate perspective. First, it appeared very difficult to draw valid conclusions with regard to the causal effects of the </w:t>
      </w:r>
      <w:r w:rsidR="00AC502E" w:rsidRPr="00BE02F2">
        <w:t>interventions</w:t>
      </w:r>
      <w:r w:rsidRPr="00BE02F2">
        <w:t xml:space="preserve">. Not only because there is a limited data set, but also because there have been some unexpected results that require further study. </w:t>
      </w:r>
      <w:r w:rsidR="00DD4C39">
        <w:t>Apart from the intervention</w:t>
      </w:r>
      <w:r w:rsidR="00996E46">
        <w:t>s applied</w:t>
      </w:r>
      <w:r w:rsidR="00DD4C39">
        <w:t xml:space="preserve">, the results showed that </w:t>
      </w:r>
      <w:r w:rsidRPr="00BE02F2">
        <w:t xml:space="preserve">there </w:t>
      </w:r>
      <w:r w:rsidR="0032175C">
        <w:t xml:space="preserve">have been </w:t>
      </w:r>
      <w:r w:rsidRPr="00BE02F2">
        <w:t xml:space="preserve">other factors </w:t>
      </w:r>
      <w:r w:rsidR="007F7721">
        <w:t>that affected</w:t>
      </w:r>
      <w:r w:rsidRPr="00BE02F2">
        <w:t xml:space="preserve"> learning outcomes</w:t>
      </w:r>
      <w:r w:rsidR="00FA50C5">
        <w:t xml:space="preserve">, but </w:t>
      </w:r>
      <w:r w:rsidR="007F7721">
        <w:t>these</w:t>
      </w:r>
      <w:r w:rsidR="00FA50C5">
        <w:t xml:space="preserve"> </w:t>
      </w:r>
      <w:r w:rsidR="007F7721">
        <w:t>are still unclear</w:t>
      </w:r>
      <w:r w:rsidR="00CD5B1E">
        <w:t>.</w:t>
      </w:r>
      <w:r w:rsidR="007F7721">
        <w:t xml:space="preserve"> </w:t>
      </w:r>
      <w:r w:rsidRPr="00BE02F2">
        <w:t xml:space="preserve">Consequently, the </w:t>
      </w:r>
      <w:r w:rsidR="00AC502E" w:rsidRPr="00BE02F2">
        <w:t>interventions</w:t>
      </w:r>
      <w:r w:rsidRPr="00BE02F2">
        <w:t xml:space="preserve"> </w:t>
      </w:r>
      <w:r w:rsidR="006D2385">
        <w:t xml:space="preserve">that were proposed in this research </w:t>
      </w:r>
      <w:r w:rsidRPr="00BE02F2">
        <w:t xml:space="preserve">only </w:t>
      </w:r>
      <w:r w:rsidR="0014635A" w:rsidRPr="00BE02F2">
        <w:t>increase</w:t>
      </w:r>
      <w:r w:rsidR="004E1799" w:rsidRPr="00BE02F2">
        <w:t xml:space="preserve"> the likelihood of improving learning outcomes, </w:t>
      </w:r>
      <w:r w:rsidRPr="00BE02F2">
        <w:t xml:space="preserve">but do not guarantee </w:t>
      </w:r>
      <w:r w:rsidR="00514B22" w:rsidRPr="00BE02F2">
        <w:t>it.</w:t>
      </w:r>
      <w:r w:rsidR="00D908BA">
        <w:t xml:space="preserve"> F</w:t>
      </w:r>
      <w:r w:rsidRPr="00BE02F2">
        <w:t xml:space="preserve">urther research could study the effects of the </w:t>
      </w:r>
      <w:r w:rsidR="00AC502E" w:rsidRPr="00BE02F2">
        <w:t>interventions</w:t>
      </w:r>
      <w:r w:rsidRPr="00BE02F2">
        <w:t xml:space="preserve"> more in-depth. </w:t>
      </w:r>
      <w:r w:rsidR="00D908BA">
        <w:t>In keeping with our findings, i</w:t>
      </w:r>
      <w:r w:rsidRPr="00BE02F2">
        <w:t>t is particularly relevant to study the effect of group composition on learning outcomes. In addition, the effect of chucking and sequencing is worth further exploration</w:t>
      </w:r>
      <w:r w:rsidR="008F12D0">
        <w:t>. For this,</w:t>
      </w:r>
      <w:r w:rsidR="00FA50C5">
        <w:t xml:space="preserve"> t</w:t>
      </w:r>
      <w:r w:rsidRPr="00BE02F2">
        <w:t>he Cognitive Load Theory could provide</w:t>
      </w:r>
      <w:r w:rsidR="00FA50C5">
        <w:t xml:space="preserve"> helpful</w:t>
      </w:r>
      <w:r w:rsidRPr="00BE02F2">
        <w:t xml:space="preserve"> directions.</w:t>
      </w:r>
    </w:p>
    <w:p w14:paraId="5A7585FB" w14:textId="77777777" w:rsidR="00256924" w:rsidRPr="00BE02F2" w:rsidRDefault="00256924" w:rsidP="00256924"/>
    <w:p w14:paraId="2324E19A" w14:textId="40DE2660" w:rsidR="00256924" w:rsidRPr="00BE02F2" w:rsidRDefault="00256924" w:rsidP="00256924">
      <w:r w:rsidRPr="00BE02F2">
        <w:t xml:space="preserve">In this research, Activity Theory has been used as a framework to </w:t>
      </w:r>
      <w:r w:rsidR="0014635A" w:rsidRPr="00BE02F2">
        <w:t>analyse</w:t>
      </w:r>
      <w:r w:rsidRPr="00BE02F2">
        <w:t xml:space="preserve"> the groups. This </w:t>
      </w:r>
      <w:r w:rsidR="00C62A11">
        <w:t>theory appeared</w:t>
      </w:r>
      <w:r w:rsidRPr="00BE02F2">
        <w:t xml:space="preserve"> to be useful as a structuring device to organize </w:t>
      </w:r>
      <w:r w:rsidR="00C62A11">
        <w:t xml:space="preserve">the </w:t>
      </w:r>
      <w:r w:rsidRPr="00BE02F2">
        <w:t xml:space="preserve">data. </w:t>
      </w:r>
      <w:r w:rsidR="00C62A11">
        <w:t>However, t</w:t>
      </w:r>
      <w:r w:rsidRPr="00BE02F2">
        <w:t xml:space="preserve">he theory </w:t>
      </w:r>
      <w:r w:rsidR="00C62A11">
        <w:t xml:space="preserve">posits that tensions within or between the elements of group activity (represented by the Activity Theory triangle), can provide the leverage points for the group to learn, but </w:t>
      </w:r>
      <w:r w:rsidRPr="00BE02F2">
        <w:t xml:space="preserve">in this research, it appeared that these </w:t>
      </w:r>
      <w:r w:rsidR="00C62A11">
        <w:t>tensions</w:t>
      </w:r>
      <w:r w:rsidRPr="00BE02F2">
        <w:t xml:space="preserve"> were difficult to detect. Let alone </w:t>
      </w:r>
      <w:r w:rsidR="00C62A11">
        <w:t>to observe how these tensions</w:t>
      </w:r>
      <w:r w:rsidR="009125B3">
        <w:t xml:space="preserve"> resulted in learning</w:t>
      </w:r>
      <w:r w:rsidRPr="00BE02F2">
        <w:t xml:space="preserve">. Therefore, the idea to focus on these </w:t>
      </w:r>
      <w:r w:rsidR="00C62A11">
        <w:t>tensions</w:t>
      </w:r>
      <w:r w:rsidRPr="00BE02F2">
        <w:t xml:space="preserve"> had to be abandoned.</w:t>
      </w:r>
      <w:r w:rsidR="004740ED" w:rsidRPr="00BE02F2">
        <w:t xml:space="preserve"> Nevertheless, as an observation framework</w:t>
      </w:r>
      <w:r w:rsidR="005D0CFF">
        <w:t xml:space="preserve"> </w:t>
      </w:r>
      <w:r w:rsidR="00C62A11">
        <w:t xml:space="preserve">the Activity Theory </w:t>
      </w:r>
      <w:r w:rsidR="0025406F">
        <w:t xml:space="preserve">triangle </w:t>
      </w:r>
      <w:r w:rsidR="005D0CFF">
        <w:t>was very effective.</w:t>
      </w:r>
      <w:r w:rsidR="004740ED" w:rsidRPr="00BE02F2">
        <w:t xml:space="preserve"> </w:t>
      </w:r>
    </w:p>
    <w:p w14:paraId="69B864C0" w14:textId="77777777" w:rsidR="005811D5" w:rsidRPr="00BE02F2" w:rsidRDefault="005811D5" w:rsidP="00256924"/>
    <w:p w14:paraId="1EDB6FCC" w14:textId="198862EE" w:rsidR="003553F6" w:rsidRPr="00BE02F2" w:rsidRDefault="00256924" w:rsidP="008332AF">
      <w:r w:rsidRPr="00BE02F2">
        <w:t>Finally, the goal of this research was to develop interventions to improve the learning outcomes of groups working on a</w:t>
      </w:r>
      <w:r w:rsidR="00014A4F" w:rsidRPr="00BE02F2">
        <w:t xml:space="preserve">n </w:t>
      </w:r>
      <w:r w:rsidR="00014A4F" w:rsidRPr="00BE02F2">
        <w:rPr>
          <w:shd w:val="clear" w:color="auto" w:fill="FFFFFF"/>
          <w:lang w:eastAsia="nl-NL"/>
        </w:rPr>
        <w:t>engineering design-assignment</w:t>
      </w:r>
      <w:r w:rsidR="005C1225" w:rsidRPr="00BE02F2">
        <w:t xml:space="preserve"> </w:t>
      </w:r>
      <w:r w:rsidRPr="00BE02F2">
        <w:t xml:space="preserve">during lectures. The idea was initially to limit the interventions to </w:t>
      </w:r>
      <w:r w:rsidR="005D0CFF">
        <w:t>lecture</w:t>
      </w:r>
      <w:r w:rsidRPr="00BE02F2">
        <w:t xml:space="preserve"> interventions. However, the research showed that in order to improve learning outcomes, </w:t>
      </w:r>
      <w:r w:rsidR="008F12D0">
        <w:t xml:space="preserve">lecture </w:t>
      </w:r>
      <w:r w:rsidRPr="00BE02F2">
        <w:t>interventions needed to be considered in a broader sense</w:t>
      </w:r>
      <w:r w:rsidR="008F12D0">
        <w:t xml:space="preserve"> too</w:t>
      </w:r>
      <w:r w:rsidRPr="00BE02F2">
        <w:t>, i.e. at the course level. As a result, the meaning of the word ‘</w:t>
      </w:r>
      <w:r w:rsidR="00AC502E" w:rsidRPr="00BE02F2">
        <w:t>intervention</w:t>
      </w:r>
      <w:r w:rsidRPr="00BE02F2">
        <w:t xml:space="preserve">’ has changed during this research. It has extended to guidelines for embedding </w:t>
      </w:r>
      <w:r w:rsidR="005D0CFF">
        <w:t>lecture</w:t>
      </w:r>
      <w:r w:rsidRPr="00BE02F2">
        <w:t xml:space="preserve"> assignments in the course as well. </w:t>
      </w:r>
      <w:r w:rsidR="005D0CFF">
        <w:t>Nevertheless</w:t>
      </w:r>
      <w:r w:rsidRPr="00BE02F2">
        <w:t xml:space="preserve">, this can be considered a good thing, because interventions </w:t>
      </w:r>
      <w:r w:rsidR="005D0CFF">
        <w:t xml:space="preserve">in group work during lectures </w:t>
      </w:r>
      <w:r w:rsidRPr="00BE02F2">
        <w:t xml:space="preserve">should not be isolated from the </w:t>
      </w:r>
      <w:r w:rsidR="00342CBB">
        <w:t xml:space="preserve">broader </w:t>
      </w:r>
      <w:r w:rsidRPr="00BE02F2">
        <w:t xml:space="preserve">educational context in which they take place. </w:t>
      </w:r>
    </w:p>
    <w:p w14:paraId="37B8EA0E" w14:textId="77777777" w:rsidR="00C17FEB" w:rsidRDefault="00C17FEB">
      <w:pPr>
        <w:spacing w:after="160" w:line="259" w:lineRule="auto"/>
        <w:rPr>
          <w:rFonts w:eastAsia="Times New Roman" w:cs="Times New Roman"/>
          <w:b/>
          <w:caps/>
          <w:kern w:val="28"/>
          <w:szCs w:val="24"/>
          <w:lang w:eastAsia="de-DE"/>
        </w:rPr>
      </w:pPr>
      <w:r>
        <w:br w:type="page"/>
      </w:r>
    </w:p>
    <w:p w14:paraId="4557B463" w14:textId="59233BC5" w:rsidR="00A723C7" w:rsidRPr="00BE02F2" w:rsidRDefault="00A723C7" w:rsidP="00917FB9">
      <w:pPr>
        <w:pStyle w:val="Kop1"/>
        <w:numPr>
          <w:ilvl w:val="0"/>
          <w:numId w:val="0"/>
        </w:numPr>
        <w:ind w:left="432" w:hanging="432"/>
      </w:pPr>
      <w:r w:rsidRPr="00BE02F2">
        <w:lastRenderedPageBreak/>
        <w:t>References</w:t>
      </w:r>
    </w:p>
    <w:p w14:paraId="2F83AA26" w14:textId="77777777" w:rsidR="00EB08E9" w:rsidRPr="00EB08E9" w:rsidRDefault="00A723C7" w:rsidP="00EB08E9">
      <w:pPr>
        <w:pStyle w:val="EndNoteBibliography"/>
        <w:ind w:left="720" w:hanging="720"/>
        <w:rPr>
          <w:noProof/>
        </w:rPr>
      </w:pPr>
      <w:r w:rsidRPr="00BE02F2">
        <w:rPr>
          <w:lang w:val="en-GB"/>
        </w:rPr>
        <w:fldChar w:fldCharType="begin"/>
      </w:r>
      <w:r w:rsidRPr="00BE02F2">
        <w:rPr>
          <w:lang w:val="en-GB"/>
        </w:rPr>
        <w:instrText xml:space="preserve"> ADDIN EN.REFLIST </w:instrText>
      </w:r>
      <w:r w:rsidRPr="00BE02F2">
        <w:rPr>
          <w:lang w:val="en-GB"/>
        </w:rPr>
        <w:fldChar w:fldCharType="separate"/>
      </w:r>
      <w:r w:rsidR="00EB08E9" w:rsidRPr="00EB08E9">
        <w:rPr>
          <w:noProof/>
        </w:rPr>
        <w:t>1.</w:t>
      </w:r>
      <w:r w:rsidR="00EB08E9" w:rsidRPr="00EB08E9">
        <w:rPr>
          <w:noProof/>
        </w:rPr>
        <w:tab/>
        <w:t xml:space="preserve">Felder, R.M. and Brent R., </w:t>
      </w:r>
      <w:r w:rsidR="00EB08E9" w:rsidRPr="00EB08E9">
        <w:rPr>
          <w:i/>
          <w:noProof/>
        </w:rPr>
        <w:t>Cooperative learning in technical courses: Procedures, Pitfalls, and Payoffs</w:t>
      </w:r>
      <w:r w:rsidR="00EB08E9" w:rsidRPr="00EB08E9">
        <w:rPr>
          <w:noProof/>
        </w:rPr>
        <w:t>. 1994, ERIC Institute of Education Sciences.</w:t>
      </w:r>
    </w:p>
    <w:p w14:paraId="0CE85232" w14:textId="77777777" w:rsidR="00EB08E9" w:rsidRPr="00EB08E9" w:rsidRDefault="00EB08E9" w:rsidP="00EB08E9">
      <w:pPr>
        <w:pStyle w:val="EndNoteBibliography"/>
        <w:ind w:left="720" w:hanging="720"/>
        <w:rPr>
          <w:noProof/>
        </w:rPr>
      </w:pPr>
      <w:r w:rsidRPr="00EB08E9">
        <w:rPr>
          <w:noProof/>
        </w:rPr>
        <w:t>2.</w:t>
      </w:r>
      <w:r w:rsidRPr="00EB08E9">
        <w:rPr>
          <w:noProof/>
        </w:rPr>
        <w:tab/>
        <w:t xml:space="preserve">Johnson, D.W., Johnson R.T., and Smith K.A., </w:t>
      </w:r>
      <w:r w:rsidRPr="00EB08E9">
        <w:rPr>
          <w:i/>
          <w:noProof/>
        </w:rPr>
        <w:t>Cooperative Learning: Increasing College Faculty Instructional Productivity: ASHE-ERIC Higher Education Report No. 4</w:t>
      </w:r>
      <w:r w:rsidRPr="00EB08E9">
        <w:rPr>
          <w:noProof/>
        </w:rPr>
        <w:t>. 1991: Whashington D.C.</w:t>
      </w:r>
    </w:p>
    <w:p w14:paraId="429E2C80" w14:textId="77777777" w:rsidR="00EB08E9" w:rsidRPr="00EB08E9" w:rsidRDefault="00EB08E9" w:rsidP="00EB08E9">
      <w:pPr>
        <w:pStyle w:val="EndNoteBibliography"/>
        <w:ind w:left="720" w:hanging="720"/>
        <w:rPr>
          <w:noProof/>
        </w:rPr>
      </w:pPr>
      <w:r w:rsidRPr="00EB08E9">
        <w:rPr>
          <w:noProof/>
        </w:rPr>
        <w:t>3.</w:t>
      </w:r>
      <w:r w:rsidRPr="00EB08E9">
        <w:rPr>
          <w:noProof/>
        </w:rPr>
        <w:tab/>
        <w:t xml:space="preserve">Johnson, D.W., Johnson R.T., and Smith K.A., </w:t>
      </w:r>
      <w:r w:rsidRPr="00EB08E9">
        <w:rPr>
          <w:i/>
          <w:noProof/>
        </w:rPr>
        <w:t>Cooperative Learning Returns To College What Evidence Is There That It Works?</w:t>
      </w:r>
      <w:r w:rsidRPr="00EB08E9">
        <w:rPr>
          <w:noProof/>
        </w:rPr>
        <w:t xml:space="preserve"> Change: The Magazine of Higher Learning, 1998. </w:t>
      </w:r>
      <w:r w:rsidRPr="00EB08E9">
        <w:rPr>
          <w:b/>
          <w:noProof/>
        </w:rPr>
        <w:t>30</w:t>
      </w:r>
      <w:r w:rsidRPr="00EB08E9">
        <w:rPr>
          <w:noProof/>
        </w:rPr>
        <w:t>(4): p. 26-35.</w:t>
      </w:r>
    </w:p>
    <w:p w14:paraId="1CE76E51" w14:textId="77777777" w:rsidR="00EB08E9" w:rsidRPr="00EB08E9" w:rsidRDefault="00EB08E9" w:rsidP="00EB08E9">
      <w:pPr>
        <w:pStyle w:val="EndNoteBibliography"/>
        <w:ind w:left="720" w:hanging="720"/>
        <w:rPr>
          <w:noProof/>
        </w:rPr>
      </w:pPr>
      <w:r w:rsidRPr="00EB08E9">
        <w:rPr>
          <w:noProof/>
        </w:rPr>
        <w:t>4.</w:t>
      </w:r>
      <w:r w:rsidRPr="00EB08E9">
        <w:rPr>
          <w:noProof/>
        </w:rPr>
        <w:tab/>
        <w:t xml:space="preserve">Slavin, R.E., </w:t>
      </w:r>
      <w:r w:rsidRPr="00EB08E9">
        <w:rPr>
          <w:i/>
          <w:noProof/>
        </w:rPr>
        <w:t>Cooperative Learning, Success for All, and Evidence-based Reform in education.</w:t>
      </w:r>
      <w:r w:rsidRPr="00EB08E9">
        <w:rPr>
          <w:noProof/>
        </w:rPr>
        <w:t xml:space="preserve"> Éducation et didactique, 2008. </w:t>
      </w:r>
      <w:r w:rsidRPr="00EB08E9">
        <w:rPr>
          <w:b/>
          <w:noProof/>
        </w:rPr>
        <w:t>2</w:t>
      </w:r>
      <w:r w:rsidRPr="00EB08E9">
        <w:rPr>
          <w:noProof/>
        </w:rPr>
        <w:t>(2): p. 151-159.</w:t>
      </w:r>
    </w:p>
    <w:p w14:paraId="0D2AF22B" w14:textId="77777777" w:rsidR="00EB08E9" w:rsidRPr="00EB08E9" w:rsidRDefault="00EB08E9" w:rsidP="00EB08E9">
      <w:pPr>
        <w:pStyle w:val="EndNoteBibliography"/>
        <w:ind w:left="720" w:hanging="720"/>
        <w:rPr>
          <w:noProof/>
        </w:rPr>
      </w:pPr>
      <w:r w:rsidRPr="00EB08E9">
        <w:rPr>
          <w:noProof/>
        </w:rPr>
        <w:t>5.</w:t>
      </w:r>
      <w:r w:rsidRPr="00EB08E9">
        <w:rPr>
          <w:noProof/>
        </w:rPr>
        <w:tab/>
        <w:t xml:space="preserve">Sunyoung, P., Yonjoo C., Won Y.S., and Heeyoung H., </w:t>
      </w:r>
      <w:r w:rsidRPr="00EB08E9">
        <w:rPr>
          <w:i/>
          <w:noProof/>
        </w:rPr>
        <w:t>Comparing team learning approaches through the lens of activity theory.</w:t>
      </w:r>
      <w:r w:rsidRPr="00EB08E9">
        <w:rPr>
          <w:noProof/>
        </w:rPr>
        <w:t xml:space="preserve"> European Journal of Training and Development, 2013. </w:t>
      </w:r>
      <w:r w:rsidRPr="00EB08E9">
        <w:rPr>
          <w:b/>
          <w:noProof/>
        </w:rPr>
        <w:t>37</w:t>
      </w:r>
      <w:r w:rsidRPr="00EB08E9">
        <w:rPr>
          <w:noProof/>
        </w:rPr>
        <w:t>(9): p. 788-810.</w:t>
      </w:r>
    </w:p>
    <w:p w14:paraId="6506FFAC" w14:textId="77777777" w:rsidR="00EB08E9" w:rsidRPr="00EB08E9" w:rsidRDefault="00EB08E9" w:rsidP="00EB08E9">
      <w:pPr>
        <w:pStyle w:val="EndNoteBibliography"/>
        <w:ind w:left="720" w:hanging="720"/>
        <w:rPr>
          <w:noProof/>
        </w:rPr>
      </w:pPr>
      <w:r w:rsidRPr="00EB08E9">
        <w:rPr>
          <w:noProof/>
        </w:rPr>
        <w:t>6.</w:t>
      </w:r>
      <w:r w:rsidRPr="00EB08E9">
        <w:rPr>
          <w:noProof/>
        </w:rPr>
        <w:tab/>
        <w:t xml:space="preserve">Mwanza, D. and Engeström Y., </w:t>
      </w:r>
      <w:r w:rsidRPr="00EB08E9">
        <w:rPr>
          <w:i/>
          <w:noProof/>
        </w:rPr>
        <w:t>Managing content in e-learning environments.</w:t>
      </w:r>
      <w:r w:rsidRPr="00EB08E9">
        <w:rPr>
          <w:noProof/>
        </w:rPr>
        <w:t xml:space="preserve"> British Journal of Educational Technology, 2005. </w:t>
      </w:r>
      <w:r w:rsidRPr="00EB08E9">
        <w:rPr>
          <w:b/>
          <w:noProof/>
        </w:rPr>
        <w:t>36</w:t>
      </w:r>
      <w:r w:rsidRPr="00EB08E9">
        <w:rPr>
          <w:noProof/>
        </w:rPr>
        <w:t>(3): p. 453-463.</w:t>
      </w:r>
    </w:p>
    <w:p w14:paraId="6647690E" w14:textId="77777777" w:rsidR="00EB08E9" w:rsidRPr="00EB08E9" w:rsidRDefault="00EB08E9" w:rsidP="00EB08E9">
      <w:pPr>
        <w:pStyle w:val="EndNoteBibliography"/>
        <w:ind w:left="720" w:hanging="720"/>
        <w:rPr>
          <w:noProof/>
        </w:rPr>
      </w:pPr>
      <w:r w:rsidRPr="00EB08E9">
        <w:rPr>
          <w:noProof/>
        </w:rPr>
        <w:t>7.</w:t>
      </w:r>
      <w:r w:rsidRPr="00EB08E9">
        <w:rPr>
          <w:noProof/>
        </w:rPr>
        <w:tab/>
        <w:t xml:space="preserve">Zahedi, M., Tessier V., and Hawey D., </w:t>
      </w:r>
      <w:r w:rsidRPr="00EB08E9">
        <w:rPr>
          <w:i/>
          <w:noProof/>
        </w:rPr>
        <w:t>Understanding Collaborative Design Through Activity Theory.</w:t>
      </w:r>
      <w:r w:rsidRPr="00EB08E9">
        <w:rPr>
          <w:noProof/>
        </w:rPr>
        <w:t xml:space="preserve"> The Design Journal, 2017. </w:t>
      </w:r>
      <w:r w:rsidRPr="00EB08E9">
        <w:rPr>
          <w:b/>
          <w:noProof/>
        </w:rPr>
        <w:t>20</w:t>
      </w:r>
      <w:r w:rsidRPr="00EB08E9">
        <w:rPr>
          <w:noProof/>
        </w:rPr>
        <w:t>(sup1): p. S4611-S4620.</w:t>
      </w:r>
    </w:p>
    <w:p w14:paraId="59496AC8" w14:textId="77777777" w:rsidR="00EB08E9" w:rsidRPr="00EB08E9" w:rsidRDefault="00EB08E9" w:rsidP="00EB08E9">
      <w:pPr>
        <w:pStyle w:val="EndNoteBibliography"/>
        <w:ind w:left="720" w:hanging="720"/>
        <w:rPr>
          <w:noProof/>
        </w:rPr>
      </w:pPr>
      <w:r w:rsidRPr="00EB08E9">
        <w:rPr>
          <w:noProof/>
        </w:rPr>
        <w:t>8.</w:t>
      </w:r>
      <w:r w:rsidRPr="00EB08E9">
        <w:rPr>
          <w:noProof/>
        </w:rPr>
        <w:tab/>
        <w:t xml:space="preserve">Midgley, G., </w:t>
      </w:r>
      <w:r w:rsidRPr="00EB08E9">
        <w:rPr>
          <w:i/>
          <w:noProof/>
        </w:rPr>
        <w:t>Systemic intervention: Philosophy, methodology, and practice</w:t>
      </w:r>
      <w:r w:rsidRPr="00EB08E9">
        <w:rPr>
          <w:noProof/>
        </w:rPr>
        <w:t>. 2000, New York, NY: Kluwer.</w:t>
      </w:r>
    </w:p>
    <w:p w14:paraId="3C721343" w14:textId="77777777" w:rsidR="00EB08E9" w:rsidRPr="00EB08E9" w:rsidRDefault="00EB08E9" w:rsidP="00EB08E9">
      <w:pPr>
        <w:pStyle w:val="EndNoteBibliography"/>
        <w:ind w:left="720" w:hanging="720"/>
        <w:rPr>
          <w:noProof/>
        </w:rPr>
      </w:pPr>
      <w:r w:rsidRPr="00EB08E9">
        <w:rPr>
          <w:noProof/>
        </w:rPr>
        <w:t>9.</w:t>
      </w:r>
      <w:r w:rsidRPr="00EB08E9">
        <w:rPr>
          <w:noProof/>
        </w:rPr>
        <w:tab/>
        <w:t xml:space="preserve">Smith, G. and Yates P., </w:t>
      </w:r>
      <w:r w:rsidRPr="00EB08E9">
        <w:rPr>
          <w:i/>
          <w:noProof/>
        </w:rPr>
        <w:t>Team Role Theory in Higher Education</w:t>
      </w:r>
      <w:r w:rsidRPr="00EB08E9">
        <w:rPr>
          <w:noProof/>
        </w:rPr>
        <w:t xml:space="preserve">, in </w:t>
      </w:r>
      <w:r w:rsidRPr="00EB08E9">
        <w:rPr>
          <w:i/>
          <w:noProof/>
        </w:rPr>
        <w:t>Training Journal</w:t>
      </w:r>
      <w:r w:rsidRPr="00EB08E9">
        <w:rPr>
          <w:noProof/>
        </w:rPr>
        <w:t>. 2011, Training Journal: London.</w:t>
      </w:r>
    </w:p>
    <w:p w14:paraId="30CF0CAA" w14:textId="77777777" w:rsidR="00EB08E9" w:rsidRPr="00EB08E9" w:rsidRDefault="00EB08E9" w:rsidP="00EB08E9">
      <w:pPr>
        <w:pStyle w:val="EndNoteBibliography"/>
        <w:ind w:left="720" w:hanging="720"/>
        <w:rPr>
          <w:noProof/>
        </w:rPr>
      </w:pPr>
      <w:r w:rsidRPr="00EB08E9">
        <w:rPr>
          <w:noProof/>
        </w:rPr>
        <w:t>10.</w:t>
      </w:r>
      <w:r w:rsidRPr="00EB08E9">
        <w:rPr>
          <w:noProof/>
        </w:rPr>
        <w:tab/>
        <w:t xml:space="preserve">Sweller, J., </w:t>
      </w:r>
      <w:r w:rsidRPr="00EB08E9">
        <w:rPr>
          <w:i/>
          <w:noProof/>
        </w:rPr>
        <w:t>Cognitive Load During Problem Solving: Effects on Learning.</w:t>
      </w:r>
      <w:r w:rsidRPr="00EB08E9">
        <w:rPr>
          <w:noProof/>
        </w:rPr>
        <w:t xml:space="preserve"> Cognitive Science, 1988. </w:t>
      </w:r>
      <w:r w:rsidRPr="00EB08E9">
        <w:rPr>
          <w:b/>
          <w:noProof/>
        </w:rPr>
        <w:t>12</w:t>
      </w:r>
      <w:r w:rsidRPr="00EB08E9">
        <w:rPr>
          <w:noProof/>
        </w:rPr>
        <w:t>(2): p. 257-285.</w:t>
      </w:r>
    </w:p>
    <w:p w14:paraId="3998169E" w14:textId="77777777" w:rsidR="00EB08E9" w:rsidRPr="00EB08E9" w:rsidRDefault="00EB08E9" w:rsidP="00EB08E9">
      <w:pPr>
        <w:pStyle w:val="EndNoteBibliography"/>
        <w:ind w:left="720" w:hanging="720"/>
        <w:rPr>
          <w:noProof/>
        </w:rPr>
      </w:pPr>
      <w:r w:rsidRPr="00EB08E9">
        <w:rPr>
          <w:noProof/>
        </w:rPr>
        <w:t>11.</w:t>
      </w:r>
      <w:r w:rsidRPr="00EB08E9">
        <w:rPr>
          <w:noProof/>
        </w:rPr>
        <w:tab/>
        <w:t xml:space="preserve">de Jong, T., </w:t>
      </w:r>
      <w:r w:rsidRPr="00EB08E9">
        <w:rPr>
          <w:i/>
          <w:noProof/>
        </w:rPr>
        <w:t>Cognitive load theory, educational research, and instructional design: some food for thought.</w:t>
      </w:r>
      <w:r w:rsidRPr="00EB08E9">
        <w:rPr>
          <w:noProof/>
        </w:rPr>
        <w:t xml:space="preserve"> Instructional Science, 2010. </w:t>
      </w:r>
      <w:r w:rsidRPr="00EB08E9">
        <w:rPr>
          <w:b/>
          <w:noProof/>
        </w:rPr>
        <w:t>38</w:t>
      </w:r>
      <w:r w:rsidRPr="00EB08E9">
        <w:rPr>
          <w:noProof/>
        </w:rPr>
        <w:t>(2): p. 105-134.</w:t>
      </w:r>
    </w:p>
    <w:p w14:paraId="40C7F9D5" w14:textId="77777777" w:rsidR="00EB08E9" w:rsidRPr="00EB08E9" w:rsidRDefault="00EB08E9" w:rsidP="00EB08E9">
      <w:pPr>
        <w:pStyle w:val="EndNoteBibliography"/>
        <w:ind w:left="720" w:hanging="720"/>
        <w:rPr>
          <w:noProof/>
        </w:rPr>
      </w:pPr>
      <w:r w:rsidRPr="00EB08E9">
        <w:rPr>
          <w:noProof/>
        </w:rPr>
        <w:t>12.</w:t>
      </w:r>
      <w:r w:rsidRPr="00EB08E9">
        <w:rPr>
          <w:noProof/>
        </w:rPr>
        <w:tab/>
        <w:t xml:space="preserve">Gerjets, P., Scheiter K., and Catrambone R., </w:t>
      </w:r>
      <w:r w:rsidRPr="00EB08E9">
        <w:rPr>
          <w:i/>
          <w:noProof/>
        </w:rPr>
        <w:t>Designing Instructional Examples to Reduce Intrinsic Cognitive Load: Molar versus Modular Presentation of Solution Procedures.</w:t>
      </w:r>
      <w:r w:rsidRPr="00EB08E9">
        <w:rPr>
          <w:noProof/>
        </w:rPr>
        <w:t xml:space="preserve"> Instructional Science, 2004. </w:t>
      </w:r>
      <w:r w:rsidRPr="00EB08E9">
        <w:rPr>
          <w:b/>
          <w:noProof/>
        </w:rPr>
        <w:t>32</w:t>
      </w:r>
      <w:r w:rsidRPr="00EB08E9">
        <w:rPr>
          <w:noProof/>
        </w:rPr>
        <w:t>(1): p. 33-58.</w:t>
      </w:r>
    </w:p>
    <w:p w14:paraId="4B2A2D62" w14:textId="4A3DD2AC" w:rsidR="00A723C7" w:rsidRPr="00BE02F2" w:rsidRDefault="00A723C7" w:rsidP="00A723C7">
      <w:pPr>
        <w:jc w:val="both"/>
      </w:pPr>
      <w:r w:rsidRPr="00BE02F2">
        <w:fldChar w:fldCharType="end"/>
      </w:r>
    </w:p>
    <w:p w14:paraId="54D32CB6" w14:textId="25AFC96F" w:rsidR="00A723C7" w:rsidRPr="00BE02F2" w:rsidRDefault="00A723C7">
      <w:pPr>
        <w:spacing w:after="160" w:line="259" w:lineRule="auto"/>
        <w:rPr>
          <w:rFonts w:eastAsiaTheme="majorEastAsia" w:cstheme="majorBidi"/>
          <w:b/>
          <w:spacing w:val="22"/>
          <w:sz w:val="22"/>
          <w:szCs w:val="26"/>
        </w:rPr>
      </w:pPr>
    </w:p>
    <w:p w14:paraId="3BDD8434" w14:textId="1FCE9F3A" w:rsidR="00543DC7" w:rsidRPr="00BE02F2" w:rsidRDefault="00543DC7">
      <w:pPr>
        <w:spacing w:after="160" w:line="259" w:lineRule="auto"/>
        <w:rPr>
          <w:rFonts w:eastAsiaTheme="majorEastAsia" w:cstheme="majorBidi"/>
          <w:b/>
          <w:spacing w:val="22"/>
          <w:sz w:val="22"/>
          <w:szCs w:val="26"/>
        </w:rPr>
      </w:pPr>
      <w:bookmarkStart w:id="5" w:name="_GoBack"/>
      <w:bookmarkEnd w:id="5"/>
    </w:p>
    <w:sectPr w:rsidR="00543DC7" w:rsidRPr="00BE02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83D55" w14:textId="77777777" w:rsidR="00E10D88" w:rsidRDefault="00E10D88" w:rsidP="00C55E4D">
      <w:pPr>
        <w:spacing w:line="240" w:lineRule="auto"/>
      </w:pPr>
      <w:r>
        <w:separator/>
      </w:r>
    </w:p>
  </w:endnote>
  <w:endnote w:type="continuationSeparator" w:id="0">
    <w:p w14:paraId="53E44B40" w14:textId="77777777" w:rsidR="00E10D88" w:rsidRDefault="00E10D88" w:rsidP="00C55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1947" w14:textId="77777777" w:rsidR="00E10D88" w:rsidRDefault="00E10D88" w:rsidP="00C55E4D">
      <w:pPr>
        <w:spacing w:line="240" w:lineRule="auto"/>
      </w:pPr>
      <w:r>
        <w:separator/>
      </w:r>
    </w:p>
  </w:footnote>
  <w:footnote w:type="continuationSeparator" w:id="0">
    <w:p w14:paraId="16EA6B1E" w14:textId="77777777" w:rsidR="00E10D88" w:rsidRDefault="00E10D88" w:rsidP="00C55E4D">
      <w:pPr>
        <w:spacing w:line="240" w:lineRule="auto"/>
      </w:pPr>
      <w:r>
        <w:continuationSeparator/>
      </w:r>
    </w:p>
  </w:footnote>
  <w:footnote w:id="1">
    <w:p w14:paraId="0F9AF82B" w14:textId="04968D92" w:rsidR="0013371E" w:rsidRPr="00C67FBC" w:rsidRDefault="0013371E">
      <w:pPr>
        <w:pStyle w:val="Voetnoottekst"/>
        <w:rPr>
          <w:i/>
          <w:lang w:val="en-US"/>
        </w:rPr>
      </w:pPr>
      <w:r w:rsidRPr="00C67FBC">
        <w:rPr>
          <w:rStyle w:val="Voetnootmarkering"/>
          <w:i/>
        </w:rPr>
        <w:footnoteRef/>
      </w:r>
      <w:r w:rsidRPr="00C67FBC">
        <w:rPr>
          <w:i/>
        </w:rPr>
        <w:t xml:space="preserve"> </w:t>
      </w:r>
      <w:r w:rsidRPr="00C67FBC">
        <w:rPr>
          <w:i/>
          <w:lang w:val="en-US"/>
        </w:rPr>
        <w:t>Corresponding Author</w:t>
      </w:r>
    </w:p>
    <w:p w14:paraId="7E2C9DD0" w14:textId="43255A8B" w:rsidR="0013371E" w:rsidRPr="00C67FBC" w:rsidRDefault="0013371E">
      <w:pPr>
        <w:pStyle w:val="Voetnoottekst"/>
        <w:rPr>
          <w:i/>
          <w:lang w:val="en-US"/>
        </w:rPr>
      </w:pPr>
      <w:r w:rsidRPr="00C67FBC">
        <w:rPr>
          <w:i/>
          <w:lang w:val="en-US"/>
        </w:rPr>
        <w:t>R.S. de Graaf</w:t>
      </w:r>
    </w:p>
    <w:p w14:paraId="0B0F4E35" w14:textId="59EB7B9B" w:rsidR="0013371E" w:rsidRPr="00A761F8" w:rsidRDefault="0013371E">
      <w:pPr>
        <w:pStyle w:val="Voetnoottekst"/>
        <w:rPr>
          <w:lang w:val="en-US"/>
        </w:rPr>
      </w:pPr>
      <w:r w:rsidRPr="00C67FBC">
        <w:rPr>
          <w:i/>
          <w:lang w:val="en-US"/>
        </w:rPr>
        <w:t>r.s.degraaf@utwente.nl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5AD"/>
    <w:multiLevelType w:val="hybridMultilevel"/>
    <w:tmpl w:val="F49E0632"/>
    <w:lvl w:ilvl="0" w:tplc="B768C982">
      <w:numFmt w:val="bullet"/>
      <w:pStyle w:val="Bulletedlist"/>
      <w:lvlText w:val="-"/>
      <w:lvlJc w:val="left"/>
      <w:pPr>
        <w:ind w:left="360" w:hanging="360"/>
      </w:pPr>
      <w:rPr>
        <w:rFonts w:ascii="Calibri" w:eastAsiaTheme="minorHAnsi" w:hAnsi="Calibri" w:cstheme="minorBidi" w:hint="default"/>
      </w:rPr>
    </w:lvl>
    <w:lvl w:ilvl="1" w:tplc="04090019">
      <w:start w:val="1"/>
      <w:numFmt w:val="lowerLetter"/>
      <w:lvlText w:val="%2."/>
      <w:lvlJc w:val="left"/>
      <w:pPr>
        <w:ind w:left="986" w:hanging="360"/>
      </w:pPr>
    </w:lvl>
    <w:lvl w:ilvl="2" w:tplc="0409001B" w:tentative="1">
      <w:start w:val="1"/>
      <w:numFmt w:val="lowerRoman"/>
      <w:lvlText w:val="%3."/>
      <w:lvlJc w:val="right"/>
      <w:pPr>
        <w:ind w:left="1706" w:hanging="180"/>
      </w:p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1" w15:restartNumberingAfterBreak="0">
    <w:nsid w:val="1B2932A7"/>
    <w:multiLevelType w:val="multilevel"/>
    <w:tmpl w:val="AAC03AE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61F94C96"/>
    <w:multiLevelType w:val="hybridMultilevel"/>
    <w:tmpl w:val="A314AFE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en-GB" w:vendorID="64" w:dllVersion="131078" w:nlCheck="1" w:checkStyle="0"/>
  <w:activeWritingStyle w:appName="MSWord" w:lang="nl-NL" w:vendorID="64" w:dllVersion="131078" w:nlCheck="1" w:checkStyle="0"/>
  <w:activeWritingStyle w:appName="MSWord" w:lang="en-US" w:vendorID="64" w:dllVersion="131078"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SEFI REVIS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tszadf69pvz6es9xpv9e23x9pes0vf5p00&quot;&gt;Bibliotheek-Converted&lt;record-ids&gt;&lt;item&gt;202&lt;/item&gt;&lt;item&gt;203&lt;/item&gt;&lt;item&gt;208&lt;/item&gt;&lt;item&gt;212&lt;/item&gt;&lt;item&gt;214&lt;/item&gt;&lt;item&gt;216&lt;/item&gt;&lt;item&gt;218&lt;/item&gt;&lt;item&gt;222&lt;/item&gt;&lt;item&gt;237&lt;/item&gt;&lt;item&gt;240&lt;/item&gt;&lt;item&gt;244&lt;/item&gt;&lt;item&gt;245&lt;/item&gt;&lt;/record-ids&gt;&lt;/item&gt;&lt;/Libraries&gt;"/>
  </w:docVars>
  <w:rsids>
    <w:rsidRoot w:val="00C55E4D"/>
    <w:rsid w:val="000010BF"/>
    <w:rsid w:val="000135C6"/>
    <w:rsid w:val="00014A4F"/>
    <w:rsid w:val="00020482"/>
    <w:rsid w:val="000340F5"/>
    <w:rsid w:val="00047ED5"/>
    <w:rsid w:val="00051034"/>
    <w:rsid w:val="00052D68"/>
    <w:rsid w:val="0005622C"/>
    <w:rsid w:val="0006187B"/>
    <w:rsid w:val="00071ADD"/>
    <w:rsid w:val="00073A36"/>
    <w:rsid w:val="000778CF"/>
    <w:rsid w:val="000805EF"/>
    <w:rsid w:val="00094ABC"/>
    <w:rsid w:val="000A3166"/>
    <w:rsid w:val="000A6484"/>
    <w:rsid w:val="000B1A10"/>
    <w:rsid w:val="000C1280"/>
    <w:rsid w:val="000D2B3A"/>
    <w:rsid w:val="000D375D"/>
    <w:rsid w:val="000E1B1B"/>
    <w:rsid w:val="000E715A"/>
    <w:rsid w:val="000F5C7F"/>
    <w:rsid w:val="000F7FEF"/>
    <w:rsid w:val="0010183F"/>
    <w:rsid w:val="00102816"/>
    <w:rsid w:val="00107FCE"/>
    <w:rsid w:val="00110032"/>
    <w:rsid w:val="001119FE"/>
    <w:rsid w:val="00121A74"/>
    <w:rsid w:val="00121ED0"/>
    <w:rsid w:val="001229B2"/>
    <w:rsid w:val="00131CDB"/>
    <w:rsid w:val="001333EF"/>
    <w:rsid w:val="0013371E"/>
    <w:rsid w:val="0014635A"/>
    <w:rsid w:val="001600C9"/>
    <w:rsid w:val="001617D4"/>
    <w:rsid w:val="00170E3C"/>
    <w:rsid w:val="001716D3"/>
    <w:rsid w:val="00171F12"/>
    <w:rsid w:val="00174364"/>
    <w:rsid w:val="00174CA3"/>
    <w:rsid w:val="00180DF8"/>
    <w:rsid w:val="001B52DC"/>
    <w:rsid w:val="002073D5"/>
    <w:rsid w:val="00216A95"/>
    <w:rsid w:val="002240DE"/>
    <w:rsid w:val="0022513F"/>
    <w:rsid w:val="00252A7D"/>
    <w:rsid w:val="0025406F"/>
    <w:rsid w:val="00254268"/>
    <w:rsid w:val="002551C9"/>
    <w:rsid w:val="00256924"/>
    <w:rsid w:val="00264460"/>
    <w:rsid w:val="00272FAB"/>
    <w:rsid w:val="002906E4"/>
    <w:rsid w:val="002D6DD1"/>
    <w:rsid w:val="002E35FF"/>
    <w:rsid w:val="002F5FC7"/>
    <w:rsid w:val="003132D2"/>
    <w:rsid w:val="00315737"/>
    <w:rsid w:val="003214B4"/>
    <w:rsid w:val="0032175C"/>
    <w:rsid w:val="00323BC7"/>
    <w:rsid w:val="00336D02"/>
    <w:rsid w:val="00340D88"/>
    <w:rsid w:val="00342CBB"/>
    <w:rsid w:val="003553F6"/>
    <w:rsid w:val="00366EB0"/>
    <w:rsid w:val="00376233"/>
    <w:rsid w:val="003842CF"/>
    <w:rsid w:val="00384FD6"/>
    <w:rsid w:val="003951B7"/>
    <w:rsid w:val="003A5048"/>
    <w:rsid w:val="003A654C"/>
    <w:rsid w:val="003A7F22"/>
    <w:rsid w:val="003B08E9"/>
    <w:rsid w:val="003B412A"/>
    <w:rsid w:val="003C16D0"/>
    <w:rsid w:val="003D3287"/>
    <w:rsid w:val="003F542C"/>
    <w:rsid w:val="00411A4D"/>
    <w:rsid w:val="00411FA0"/>
    <w:rsid w:val="004162F5"/>
    <w:rsid w:val="00417622"/>
    <w:rsid w:val="004176F6"/>
    <w:rsid w:val="004239E7"/>
    <w:rsid w:val="004414D3"/>
    <w:rsid w:val="0045391A"/>
    <w:rsid w:val="00471287"/>
    <w:rsid w:val="00471D73"/>
    <w:rsid w:val="004740ED"/>
    <w:rsid w:val="00484362"/>
    <w:rsid w:val="00486914"/>
    <w:rsid w:val="004927AB"/>
    <w:rsid w:val="004959ED"/>
    <w:rsid w:val="004B61F5"/>
    <w:rsid w:val="004C0C75"/>
    <w:rsid w:val="004C2133"/>
    <w:rsid w:val="004C398B"/>
    <w:rsid w:val="004C4063"/>
    <w:rsid w:val="004E114F"/>
    <w:rsid w:val="004E1799"/>
    <w:rsid w:val="004E2451"/>
    <w:rsid w:val="004F3BD8"/>
    <w:rsid w:val="004F3E8D"/>
    <w:rsid w:val="004F4B37"/>
    <w:rsid w:val="004F674E"/>
    <w:rsid w:val="005025AB"/>
    <w:rsid w:val="00512AF4"/>
    <w:rsid w:val="00514B22"/>
    <w:rsid w:val="00522523"/>
    <w:rsid w:val="00527B4F"/>
    <w:rsid w:val="005424D5"/>
    <w:rsid w:val="00543DC7"/>
    <w:rsid w:val="00575307"/>
    <w:rsid w:val="005779FB"/>
    <w:rsid w:val="005811D5"/>
    <w:rsid w:val="00592B95"/>
    <w:rsid w:val="00595D98"/>
    <w:rsid w:val="005A3512"/>
    <w:rsid w:val="005A546F"/>
    <w:rsid w:val="005B607B"/>
    <w:rsid w:val="005C1225"/>
    <w:rsid w:val="005C36E8"/>
    <w:rsid w:val="005C50CF"/>
    <w:rsid w:val="005D0CFF"/>
    <w:rsid w:val="005D3346"/>
    <w:rsid w:val="00602CAC"/>
    <w:rsid w:val="006135A6"/>
    <w:rsid w:val="00637069"/>
    <w:rsid w:val="0065114A"/>
    <w:rsid w:val="00653DFC"/>
    <w:rsid w:val="006563F5"/>
    <w:rsid w:val="0067244E"/>
    <w:rsid w:val="006903B6"/>
    <w:rsid w:val="00691C6E"/>
    <w:rsid w:val="00693E05"/>
    <w:rsid w:val="006C0A8C"/>
    <w:rsid w:val="006C2844"/>
    <w:rsid w:val="006C56EA"/>
    <w:rsid w:val="006C798A"/>
    <w:rsid w:val="006D2385"/>
    <w:rsid w:val="006E2B62"/>
    <w:rsid w:val="006F1664"/>
    <w:rsid w:val="006F30F4"/>
    <w:rsid w:val="00700CE8"/>
    <w:rsid w:val="00734187"/>
    <w:rsid w:val="00742259"/>
    <w:rsid w:val="00753F42"/>
    <w:rsid w:val="00770F65"/>
    <w:rsid w:val="007713BE"/>
    <w:rsid w:val="00792877"/>
    <w:rsid w:val="007A00BD"/>
    <w:rsid w:val="007A2F28"/>
    <w:rsid w:val="007C070F"/>
    <w:rsid w:val="007C54D3"/>
    <w:rsid w:val="007C5D18"/>
    <w:rsid w:val="007D7DFF"/>
    <w:rsid w:val="007E2422"/>
    <w:rsid w:val="007E5294"/>
    <w:rsid w:val="007F4AF2"/>
    <w:rsid w:val="007F6409"/>
    <w:rsid w:val="007F7721"/>
    <w:rsid w:val="00803144"/>
    <w:rsid w:val="00813593"/>
    <w:rsid w:val="008332AF"/>
    <w:rsid w:val="0086318A"/>
    <w:rsid w:val="00865F94"/>
    <w:rsid w:val="00886659"/>
    <w:rsid w:val="00897010"/>
    <w:rsid w:val="008A3FA7"/>
    <w:rsid w:val="008A7FD0"/>
    <w:rsid w:val="008B74A2"/>
    <w:rsid w:val="008E3D78"/>
    <w:rsid w:val="008E6ED1"/>
    <w:rsid w:val="008F12D0"/>
    <w:rsid w:val="008F1990"/>
    <w:rsid w:val="008F6431"/>
    <w:rsid w:val="00902576"/>
    <w:rsid w:val="009125B3"/>
    <w:rsid w:val="00914566"/>
    <w:rsid w:val="009169C3"/>
    <w:rsid w:val="00917FB9"/>
    <w:rsid w:val="00923B81"/>
    <w:rsid w:val="00925F8F"/>
    <w:rsid w:val="00933A6D"/>
    <w:rsid w:val="00934B2E"/>
    <w:rsid w:val="00952636"/>
    <w:rsid w:val="00962BE8"/>
    <w:rsid w:val="00977664"/>
    <w:rsid w:val="0098633E"/>
    <w:rsid w:val="00996E46"/>
    <w:rsid w:val="009A11F4"/>
    <w:rsid w:val="009A4D0F"/>
    <w:rsid w:val="009A6653"/>
    <w:rsid w:val="009B5652"/>
    <w:rsid w:val="009E0428"/>
    <w:rsid w:val="009E536B"/>
    <w:rsid w:val="009F07FA"/>
    <w:rsid w:val="00A23266"/>
    <w:rsid w:val="00A24D8C"/>
    <w:rsid w:val="00A302A3"/>
    <w:rsid w:val="00A40E3F"/>
    <w:rsid w:val="00A574BA"/>
    <w:rsid w:val="00A57A20"/>
    <w:rsid w:val="00A71256"/>
    <w:rsid w:val="00A71DCE"/>
    <w:rsid w:val="00A723C7"/>
    <w:rsid w:val="00A74D27"/>
    <w:rsid w:val="00A761F8"/>
    <w:rsid w:val="00AA43AC"/>
    <w:rsid w:val="00AA4D07"/>
    <w:rsid w:val="00AA6D96"/>
    <w:rsid w:val="00AC19F1"/>
    <w:rsid w:val="00AC502E"/>
    <w:rsid w:val="00AE17CE"/>
    <w:rsid w:val="00AE1C5E"/>
    <w:rsid w:val="00AE1D45"/>
    <w:rsid w:val="00AF44D8"/>
    <w:rsid w:val="00B06737"/>
    <w:rsid w:val="00B30E21"/>
    <w:rsid w:val="00B402B9"/>
    <w:rsid w:val="00B53CED"/>
    <w:rsid w:val="00B5694C"/>
    <w:rsid w:val="00B569AD"/>
    <w:rsid w:val="00B63CCD"/>
    <w:rsid w:val="00B75E9E"/>
    <w:rsid w:val="00B761ED"/>
    <w:rsid w:val="00B764A0"/>
    <w:rsid w:val="00B80926"/>
    <w:rsid w:val="00B863FE"/>
    <w:rsid w:val="00B870D6"/>
    <w:rsid w:val="00B9624F"/>
    <w:rsid w:val="00BA7AB3"/>
    <w:rsid w:val="00BB53F6"/>
    <w:rsid w:val="00BC2554"/>
    <w:rsid w:val="00BC4365"/>
    <w:rsid w:val="00BD5378"/>
    <w:rsid w:val="00BD5E8E"/>
    <w:rsid w:val="00BE02F2"/>
    <w:rsid w:val="00BE6DA2"/>
    <w:rsid w:val="00BF0BBD"/>
    <w:rsid w:val="00C01367"/>
    <w:rsid w:val="00C033D5"/>
    <w:rsid w:val="00C055E6"/>
    <w:rsid w:val="00C05C4C"/>
    <w:rsid w:val="00C07088"/>
    <w:rsid w:val="00C17FEB"/>
    <w:rsid w:val="00C314AF"/>
    <w:rsid w:val="00C36FFB"/>
    <w:rsid w:val="00C45E5E"/>
    <w:rsid w:val="00C46CC9"/>
    <w:rsid w:val="00C47487"/>
    <w:rsid w:val="00C55E4D"/>
    <w:rsid w:val="00C62A11"/>
    <w:rsid w:val="00C65A25"/>
    <w:rsid w:val="00C67FBC"/>
    <w:rsid w:val="00C75DC4"/>
    <w:rsid w:val="00C876E8"/>
    <w:rsid w:val="00C93C3B"/>
    <w:rsid w:val="00CA042B"/>
    <w:rsid w:val="00CA36D7"/>
    <w:rsid w:val="00CC7676"/>
    <w:rsid w:val="00CD4966"/>
    <w:rsid w:val="00CD5B1E"/>
    <w:rsid w:val="00CE6DDF"/>
    <w:rsid w:val="00D05CF1"/>
    <w:rsid w:val="00D14E11"/>
    <w:rsid w:val="00D157C4"/>
    <w:rsid w:val="00D1588F"/>
    <w:rsid w:val="00D2093F"/>
    <w:rsid w:val="00D23667"/>
    <w:rsid w:val="00D31C77"/>
    <w:rsid w:val="00D342BE"/>
    <w:rsid w:val="00D37B4E"/>
    <w:rsid w:val="00D460A2"/>
    <w:rsid w:val="00D501B5"/>
    <w:rsid w:val="00D529AA"/>
    <w:rsid w:val="00D605CB"/>
    <w:rsid w:val="00D77905"/>
    <w:rsid w:val="00D8450C"/>
    <w:rsid w:val="00D87942"/>
    <w:rsid w:val="00D908BA"/>
    <w:rsid w:val="00DA63F1"/>
    <w:rsid w:val="00DB4474"/>
    <w:rsid w:val="00DC1755"/>
    <w:rsid w:val="00DD4C39"/>
    <w:rsid w:val="00DD7BFB"/>
    <w:rsid w:val="00E078EB"/>
    <w:rsid w:val="00E10D88"/>
    <w:rsid w:val="00E35A3A"/>
    <w:rsid w:val="00E401FC"/>
    <w:rsid w:val="00E4253F"/>
    <w:rsid w:val="00E467F8"/>
    <w:rsid w:val="00E73AD5"/>
    <w:rsid w:val="00E73D3E"/>
    <w:rsid w:val="00E77902"/>
    <w:rsid w:val="00E93322"/>
    <w:rsid w:val="00E93FEB"/>
    <w:rsid w:val="00EB0315"/>
    <w:rsid w:val="00EB08E9"/>
    <w:rsid w:val="00EB69CA"/>
    <w:rsid w:val="00EC24D2"/>
    <w:rsid w:val="00ED587B"/>
    <w:rsid w:val="00EE2D3C"/>
    <w:rsid w:val="00EE4BFA"/>
    <w:rsid w:val="00EF6B9A"/>
    <w:rsid w:val="00EF7D56"/>
    <w:rsid w:val="00F165EC"/>
    <w:rsid w:val="00F177E9"/>
    <w:rsid w:val="00F26800"/>
    <w:rsid w:val="00F26D66"/>
    <w:rsid w:val="00F26E6F"/>
    <w:rsid w:val="00F27F34"/>
    <w:rsid w:val="00F36A5E"/>
    <w:rsid w:val="00F41922"/>
    <w:rsid w:val="00F55630"/>
    <w:rsid w:val="00F66A48"/>
    <w:rsid w:val="00F7287F"/>
    <w:rsid w:val="00F87D5F"/>
    <w:rsid w:val="00FA50C5"/>
    <w:rsid w:val="00FE02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82097"/>
  <w15:chartTrackingRefBased/>
  <w15:docId w15:val="{21DA5436-371C-4DD6-8256-CD9CFD45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69AD"/>
    <w:pPr>
      <w:spacing w:after="0" w:line="276" w:lineRule="auto"/>
    </w:pPr>
    <w:rPr>
      <w:rFonts w:ascii="Arial" w:hAnsi="Arial" w:cs="Times New Roman (Hoofdtekst CS)"/>
      <w:sz w:val="24"/>
      <w:lang w:val="en-GB"/>
    </w:rPr>
  </w:style>
  <w:style w:type="paragraph" w:styleId="Kop1">
    <w:name w:val="heading 1"/>
    <w:basedOn w:val="Standaard"/>
    <w:next w:val="Standaard"/>
    <w:link w:val="Kop1Char"/>
    <w:qFormat/>
    <w:rsid w:val="0086318A"/>
    <w:pPr>
      <w:keepNext/>
      <w:numPr>
        <w:numId w:val="1"/>
      </w:numPr>
      <w:tabs>
        <w:tab w:val="left" w:pos="454"/>
      </w:tabs>
      <w:spacing w:before="240" w:after="120" w:line="240" w:lineRule="auto"/>
      <w:contextualSpacing/>
      <w:outlineLvl w:val="0"/>
    </w:pPr>
    <w:rPr>
      <w:rFonts w:eastAsia="Times New Roman" w:cs="Times New Roman"/>
      <w:b/>
      <w:caps/>
      <w:kern w:val="28"/>
      <w:szCs w:val="24"/>
      <w:lang w:eastAsia="de-DE"/>
    </w:rPr>
  </w:style>
  <w:style w:type="paragraph" w:styleId="Kop2">
    <w:name w:val="heading 2"/>
    <w:basedOn w:val="Standaard"/>
    <w:next w:val="Standaard"/>
    <w:link w:val="Kop2Char"/>
    <w:qFormat/>
    <w:rsid w:val="0086318A"/>
    <w:pPr>
      <w:keepNext/>
      <w:numPr>
        <w:ilvl w:val="1"/>
        <w:numId w:val="1"/>
      </w:numPr>
      <w:tabs>
        <w:tab w:val="left" w:pos="454"/>
      </w:tabs>
      <w:spacing w:before="120" w:after="120" w:line="240" w:lineRule="auto"/>
      <w:ind w:left="578" w:hanging="578"/>
      <w:contextualSpacing/>
      <w:outlineLvl w:val="1"/>
    </w:pPr>
    <w:rPr>
      <w:rFonts w:eastAsia="Times New Roman" w:cs="Times New Roman"/>
      <w:b/>
      <w:szCs w:val="24"/>
      <w:lang w:eastAsia="de-DE"/>
    </w:rPr>
  </w:style>
  <w:style w:type="paragraph" w:styleId="Kop3">
    <w:name w:val="heading 3"/>
    <w:basedOn w:val="Standaard"/>
    <w:next w:val="Standaard"/>
    <w:link w:val="Kop3Char"/>
    <w:rsid w:val="00C55E4D"/>
    <w:pPr>
      <w:keepNext/>
      <w:numPr>
        <w:ilvl w:val="2"/>
        <w:numId w:val="1"/>
      </w:numPr>
      <w:tabs>
        <w:tab w:val="left" w:pos="680"/>
      </w:tabs>
      <w:spacing w:before="240" w:after="120" w:line="240" w:lineRule="auto"/>
      <w:contextualSpacing/>
      <w:outlineLvl w:val="2"/>
    </w:pPr>
    <w:rPr>
      <w:rFonts w:ascii="Times New Roman" w:eastAsia="Times New Roman" w:hAnsi="Times New Roman" w:cs="Arial"/>
      <w:b/>
      <w:bCs/>
      <w:i/>
      <w:szCs w:val="24"/>
      <w:lang w:eastAsia="de-DE"/>
    </w:rPr>
  </w:style>
  <w:style w:type="paragraph" w:styleId="Kop4">
    <w:name w:val="heading 4"/>
    <w:basedOn w:val="Standaard"/>
    <w:next w:val="Standaard"/>
    <w:link w:val="Kop4Char"/>
    <w:semiHidden/>
    <w:unhideWhenUsed/>
    <w:rsid w:val="00C55E4D"/>
    <w:pPr>
      <w:keepNext/>
      <w:numPr>
        <w:ilvl w:val="3"/>
        <w:numId w:val="1"/>
      </w:numPr>
      <w:spacing w:before="240" w:after="60" w:line="240" w:lineRule="auto"/>
      <w:jc w:val="both"/>
      <w:outlineLvl w:val="3"/>
    </w:pPr>
    <w:rPr>
      <w:rFonts w:ascii="Calibri" w:eastAsia="MS Mincho" w:hAnsi="Calibri" w:cs="Times New Roman"/>
      <w:b/>
      <w:bCs/>
      <w:sz w:val="28"/>
      <w:szCs w:val="28"/>
      <w:lang w:eastAsia="de-DE"/>
    </w:rPr>
  </w:style>
  <w:style w:type="paragraph" w:styleId="Kop5">
    <w:name w:val="heading 5"/>
    <w:basedOn w:val="Standaard"/>
    <w:next w:val="Standaard"/>
    <w:link w:val="Kop5Char"/>
    <w:semiHidden/>
    <w:unhideWhenUsed/>
    <w:qFormat/>
    <w:rsid w:val="00C55E4D"/>
    <w:pPr>
      <w:numPr>
        <w:ilvl w:val="4"/>
        <w:numId w:val="1"/>
      </w:numPr>
      <w:spacing w:before="240" w:after="60" w:line="240" w:lineRule="auto"/>
      <w:jc w:val="both"/>
      <w:outlineLvl w:val="4"/>
    </w:pPr>
    <w:rPr>
      <w:rFonts w:ascii="Calibri" w:eastAsia="MS Mincho" w:hAnsi="Calibri" w:cs="Times New Roman"/>
      <w:b/>
      <w:bCs/>
      <w:i/>
      <w:iCs/>
      <w:sz w:val="26"/>
      <w:szCs w:val="26"/>
      <w:lang w:eastAsia="de-DE"/>
    </w:rPr>
  </w:style>
  <w:style w:type="paragraph" w:styleId="Kop6">
    <w:name w:val="heading 6"/>
    <w:basedOn w:val="Standaard"/>
    <w:next w:val="Standaard"/>
    <w:link w:val="Kop6Char"/>
    <w:semiHidden/>
    <w:unhideWhenUsed/>
    <w:qFormat/>
    <w:rsid w:val="00C55E4D"/>
    <w:pPr>
      <w:numPr>
        <w:ilvl w:val="5"/>
        <w:numId w:val="1"/>
      </w:numPr>
      <w:spacing w:before="240" w:after="60" w:line="240" w:lineRule="auto"/>
      <w:jc w:val="both"/>
      <w:outlineLvl w:val="5"/>
    </w:pPr>
    <w:rPr>
      <w:rFonts w:ascii="Calibri" w:eastAsia="MS Mincho" w:hAnsi="Calibri" w:cs="Times New Roman"/>
      <w:b/>
      <w:bCs/>
      <w:lang w:eastAsia="de-DE"/>
    </w:rPr>
  </w:style>
  <w:style w:type="paragraph" w:styleId="Kop7">
    <w:name w:val="heading 7"/>
    <w:basedOn w:val="Standaard"/>
    <w:next w:val="Standaard"/>
    <w:link w:val="Kop7Char"/>
    <w:semiHidden/>
    <w:unhideWhenUsed/>
    <w:qFormat/>
    <w:rsid w:val="00C55E4D"/>
    <w:pPr>
      <w:numPr>
        <w:ilvl w:val="6"/>
        <w:numId w:val="1"/>
      </w:numPr>
      <w:spacing w:before="240" w:after="60" w:line="240" w:lineRule="auto"/>
      <w:jc w:val="both"/>
      <w:outlineLvl w:val="6"/>
    </w:pPr>
    <w:rPr>
      <w:rFonts w:ascii="Calibri" w:eastAsia="MS Mincho" w:hAnsi="Calibri" w:cs="Times New Roman"/>
      <w:szCs w:val="24"/>
      <w:lang w:eastAsia="de-DE"/>
    </w:rPr>
  </w:style>
  <w:style w:type="paragraph" w:styleId="Kop8">
    <w:name w:val="heading 8"/>
    <w:basedOn w:val="Standaard"/>
    <w:next w:val="Standaard"/>
    <w:link w:val="Kop8Char"/>
    <w:semiHidden/>
    <w:unhideWhenUsed/>
    <w:qFormat/>
    <w:rsid w:val="00C55E4D"/>
    <w:pPr>
      <w:numPr>
        <w:ilvl w:val="7"/>
        <w:numId w:val="1"/>
      </w:numPr>
      <w:spacing w:before="240" w:after="60" w:line="240" w:lineRule="auto"/>
      <w:jc w:val="both"/>
      <w:outlineLvl w:val="7"/>
    </w:pPr>
    <w:rPr>
      <w:rFonts w:ascii="Calibri" w:eastAsia="MS Mincho" w:hAnsi="Calibri" w:cs="Times New Roman"/>
      <w:i/>
      <w:iCs/>
      <w:szCs w:val="24"/>
      <w:lang w:eastAsia="de-DE"/>
    </w:rPr>
  </w:style>
  <w:style w:type="paragraph" w:styleId="Kop9">
    <w:name w:val="heading 9"/>
    <w:basedOn w:val="Standaard"/>
    <w:next w:val="Standaard"/>
    <w:link w:val="Kop9Char"/>
    <w:semiHidden/>
    <w:unhideWhenUsed/>
    <w:qFormat/>
    <w:rsid w:val="00C55E4D"/>
    <w:pPr>
      <w:numPr>
        <w:ilvl w:val="8"/>
        <w:numId w:val="1"/>
      </w:numPr>
      <w:spacing w:before="240" w:after="60" w:line="240" w:lineRule="auto"/>
      <w:jc w:val="both"/>
      <w:outlineLvl w:val="8"/>
    </w:pPr>
    <w:rPr>
      <w:rFonts w:ascii="Cambria" w:eastAsia="MS Gothic" w:hAnsi="Cambria" w:cs="Times New Roman"/>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6318A"/>
    <w:rPr>
      <w:rFonts w:eastAsia="Times New Roman" w:cs="Times New Roman"/>
      <w:b/>
      <w:caps/>
      <w:kern w:val="28"/>
      <w:sz w:val="24"/>
      <w:szCs w:val="24"/>
      <w:lang w:val="en-GB" w:eastAsia="de-DE"/>
    </w:rPr>
  </w:style>
  <w:style w:type="character" w:customStyle="1" w:styleId="Kop2Char">
    <w:name w:val="Kop 2 Char"/>
    <w:basedOn w:val="Standaardalinea-lettertype"/>
    <w:link w:val="Kop2"/>
    <w:rsid w:val="0086318A"/>
    <w:rPr>
      <w:rFonts w:eastAsia="Times New Roman" w:cs="Times New Roman"/>
      <w:b/>
      <w:sz w:val="24"/>
      <w:szCs w:val="24"/>
      <w:lang w:val="en-GB" w:eastAsia="de-DE"/>
    </w:rPr>
  </w:style>
  <w:style w:type="character" w:customStyle="1" w:styleId="Kop3Char">
    <w:name w:val="Kop 3 Char"/>
    <w:basedOn w:val="Standaardalinea-lettertype"/>
    <w:link w:val="Kop3"/>
    <w:rsid w:val="00C55E4D"/>
    <w:rPr>
      <w:rFonts w:ascii="Times New Roman" w:eastAsia="Times New Roman" w:hAnsi="Times New Roman" w:cs="Arial"/>
      <w:b/>
      <w:bCs/>
      <w:i/>
      <w:sz w:val="24"/>
      <w:szCs w:val="24"/>
      <w:lang w:val="en-GB" w:eastAsia="de-DE"/>
    </w:rPr>
  </w:style>
  <w:style w:type="character" w:customStyle="1" w:styleId="Kop4Char">
    <w:name w:val="Kop 4 Char"/>
    <w:basedOn w:val="Standaardalinea-lettertype"/>
    <w:link w:val="Kop4"/>
    <w:semiHidden/>
    <w:rsid w:val="00C55E4D"/>
    <w:rPr>
      <w:rFonts w:ascii="Calibri" w:eastAsia="MS Mincho" w:hAnsi="Calibri" w:cs="Times New Roman"/>
      <w:b/>
      <w:bCs/>
      <w:sz w:val="28"/>
      <w:szCs w:val="28"/>
      <w:lang w:val="en-GB" w:eastAsia="de-DE"/>
    </w:rPr>
  </w:style>
  <w:style w:type="character" w:customStyle="1" w:styleId="Kop5Char">
    <w:name w:val="Kop 5 Char"/>
    <w:basedOn w:val="Standaardalinea-lettertype"/>
    <w:link w:val="Kop5"/>
    <w:semiHidden/>
    <w:rsid w:val="00C55E4D"/>
    <w:rPr>
      <w:rFonts w:ascii="Calibri" w:eastAsia="MS Mincho" w:hAnsi="Calibri" w:cs="Times New Roman"/>
      <w:b/>
      <w:bCs/>
      <w:i/>
      <w:iCs/>
      <w:sz w:val="26"/>
      <w:szCs w:val="26"/>
      <w:lang w:val="en-GB" w:eastAsia="de-DE"/>
    </w:rPr>
  </w:style>
  <w:style w:type="character" w:customStyle="1" w:styleId="Kop6Char">
    <w:name w:val="Kop 6 Char"/>
    <w:basedOn w:val="Standaardalinea-lettertype"/>
    <w:link w:val="Kop6"/>
    <w:semiHidden/>
    <w:rsid w:val="00C55E4D"/>
    <w:rPr>
      <w:rFonts w:ascii="Calibri" w:eastAsia="MS Mincho" w:hAnsi="Calibri" w:cs="Times New Roman"/>
      <w:b/>
      <w:bCs/>
      <w:lang w:val="en-GB" w:eastAsia="de-DE"/>
    </w:rPr>
  </w:style>
  <w:style w:type="character" w:customStyle="1" w:styleId="Kop7Char">
    <w:name w:val="Kop 7 Char"/>
    <w:basedOn w:val="Standaardalinea-lettertype"/>
    <w:link w:val="Kop7"/>
    <w:semiHidden/>
    <w:rsid w:val="00C55E4D"/>
    <w:rPr>
      <w:rFonts w:ascii="Calibri" w:eastAsia="MS Mincho" w:hAnsi="Calibri" w:cs="Times New Roman"/>
      <w:sz w:val="24"/>
      <w:szCs w:val="24"/>
      <w:lang w:val="en-GB" w:eastAsia="de-DE"/>
    </w:rPr>
  </w:style>
  <w:style w:type="character" w:customStyle="1" w:styleId="Kop8Char">
    <w:name w:val="Kop 8 Char"/>
    <w:basedOn w:val="Standaardalinea-lettertype"/>
    <w:link w:val="Kop8"/>
    <w:semiHidden/>
    <w:rsid w:val="00C55E4D"/>
    <w:rPr>
      <w:rFonts w:ascii="Calibri" w:eastAsia="MS Mincho" w:hAnsi="Calibri" w:cs="Times New Roman"/>
      <w:i/>
      <w:iCs/>
      <w:sz w:val="24"/>
      <w:szCs w:val="24"/>
      <w:lang w:val="en-GB" w:eastAsia="de-DE"/>
    </w:rPr>
  </w:style>
  <w:style w:type="character" w:customStyle="1" w:styleId="Kop9Char">
    <w:name w:val="Kop 9 Char"/>
    <w:basedOn w:val="Standaardalinea-lettertype"/>
    <w:link w:val="Kop9"/>
    <w:semiHidden/>
    <w:rsid w:val="00C55E4D"/>
    <w:rPr>
      <w:rFonts w:ascii="Cambria" w:eastAsia="MS Gothic" w:hAnsi="Cambria" w:cs="Times New Roman"/>
      <w:lang w:val="en-GB" w:eastAsia="de-DE"/>
    </w:rPr>
  </w:style>
  <w:style w:type="paragraph" w:styleId="Voetnoottekst">
    <w:name w:val="footnote text"/>
    <w:basedOn w:val="Standaard"/>
    <w:link w:val="VoetnoottekstChar"/>
    <w:uiPriority w:val="99"/>
    <w:unhideWhenUsed/>
    <w:rsid w:val="00C55E4D"/>
    <w:pPr>
      <w:spacing w:line="240" w:lineRule="auto"/>
    </w:pPr>
    <w:rPr>
      <w:sz w:val="20"/>
      <w:szCs w:val="20"/>
    </w:rPr>
  </w:style>
  <w:style w:type="character" w:customStyle="1" w:styleId="VoetnoottekstChar">
    <w:name w:val="Voetnoottekst Char"/>
    <w:basedOn w:val="Standaardalinea-lettertype"/>
    <w:link w:val="Voetnoottekst"/>
    <w:uiPriority w:val="99"/>
    <w:rsid w:val="00C55E4D"/>
    <w:rPr>
      <w:sz w:val="20"/>
      <w:szCs w:val="20"/>
      <w:lang w:val="en-GB"/>
    </w:rPr>
  </w:style>
  <w:style w:type="character" w:styleId="Voetnootmarkering">
    <w:name w:val="footnote reference"/>
    <w:basedOn w:val="Standaardalinea-lettertype"/>
    <w:uiPriority w:val="99"/>
    <w:unhideWhenUsed/>
    <w:rsid w:val="00C55E4D"/>
    <w:rPr>
      <w:vertAlign w:val="superscript"/>
    </w:rPr>
  </w:style>
  <w:style w:type="paragraph" w:customStyle="1" w:styleId="Table">
    <w:name w:val="Table"/>
    <w:basedOn w:val="Standaard"/>
    <w:next w:val="Standaard"/>
    <w:link w:val="TableChar"/>
    <w:rsid w:val="00C55E4D"/>
    <w:pPr>
      <w:tabs>
        <w:tab w:val="left" w:pos="907"/>
      </w:tabs>
      <w:spacing w:before="240" w:after="120" w:line="240" w:lineRule="auto"/>
      <w:jc w:val="center"/>
    </w:pPr>
    <w:rPr>
      <w:rFonts w:ascii="Times New Roman" w:eastAsia="Times New Roman" w:hAnsi="Times New Roman" w:cs="Times New Roman"/>
      <w:szCs w:val="24"/>
      <w:lang w:eastAsia="de-DE"/>
    </w:rPr>
  </w:style>
  <w:style w:type="paragraph" w:styleId="Bijschrift">
    <w:name w:val="caption"/>
    <w:aliases w:val="Figure Table title"/>
    <w:basedOn w:val="Standaard"/>
    <w:next w:val="Standaard"/>
    <w:uiPriority w:val="35"/>
    <w:qFormat/>
    <w:rsid w:val="00C55E4D"/>
    <w:pPr>
      <w:spacing w:before="240" w:after="60" w:line="240" w:lineRule="auto"/>
      <w:jc w:val="center"/>
    </w:pPr>
    <w:rPr>
      <w:rFonts w:ascii="Times New Roman" w:eastAsia="Times New Roman" w:hAnsi="Times New Roman" w:cs="Times New Roman"/>
      <w:b/>
      <w:szCs w:val="20"/>
      <w:lang w:eastAsia="de-DE"/>
    </w:rPr>
  </w:style>
  <w:style w:type="paragraph" w:customStyle="1" w:styleId="Formula">
    <w:name w:val="Formula"/>
    <w:basedOn w:val="Standaard"/>
    <w:next w:val="Standaard"/>
    <w:rsid w:val="00C55E4D"/>
    <w:pPr>
      <w:tabs>
        <w:tab w:val="center" w:pos="4820"/>
        <w:tab w:val="right" w:pos="9639"/>
      </w:tabs>
      <w:spacing w:before="120" w:after="120" w:line="240" w:lineRule="auto"/>
      <w:contextualSpacing/>
      <w:jc w:val="both"/>
    </w:pPr>
    <w:rPr>
      <w:rFonts w:ascii="Times New Roman" w:eastAsia="Times New Roman" w:hAnsi="Times New Roman" w:cs="Times New Roman"/>
      <w:szCs w:val="20"/>
      <w:lang w:eastAsia="de-DE"/>
    </w:rPr>
  </w:style>
  <w:style w:type="paragraph" w:customStyle="1" w:styleId="Figure">
    <w:name w:val="Figure"/>
    <w:basedOn w:val="Standaard"/>
    <w:next w:val="Standaard"/>
    <w:rsid w:val="00C55E4D"/>
    <w:pPr>
      <w:spacing w:before="120" w:after="240" w:line="240" w:lineRule="auto"/>
      <w:ind w:left="680" w:hanging="680"/>
      <w:jc w:val="center"/>
    </w:pPr>
    <w:rPr>
      <w:rFonts w:ascii="Times New Roman" w:eastAsia="Times New Roman" w:hAnsi="Times New Roman" w:cs="Times New Roman"/>
      <w:szCs w:val="24"/>
      <w:lang w:eastAsia="de-DE"/>
    </w:rPr>
  </w:style>
  <w:style w:type="paragraph" w:customStyle="1" w:styleId="Introductionheading">
    <w:name w:val="Introduction heading"/>
    <w:link w:val="IntroductionheadingChar"/>
    <w:qFormat/>
    <w:rsid w:val="00C55E4D"/>
    <w:pPr>
      <w:spacing w:before="240" w:after="120" w:line="240" w:lineRule="auto"/>
    </w:pPr>
    <w:rPr>
      <w:rFonts w:ascii="Times New Roman" w:eastAsia="Times New Roman" w:hAnsi="Times New Roman" w:cs="Times New Roman"/>
      <w:b/>
      <w:caps/>
      <w:kern w:val="28"/>
      <w:sz w:val="24"/>
      <w:szCs w:val="24"/>
      <w:lang w:val="en-GB" w:eastAsia="de-DE"/>
    </w:rPr>
  </w:style>
  <w:style w:type="paragraph" w:customStyle="1" w:styleId="Referenceandabstractheading">
    <w:name w:val="Reference and abstract heading"/>
    <w:basedOn w:val="Kop1"/>
    <w:link w:val="ReferenceandabstractheadingChar"/>
    <w:qFormat/>
    <w:rsid w:val="00962BE8"/>
    <w:pPr>
      <w:numPr>
        <w:numId w:val="0"/>
      </w:numPr>
    </w:pPr>
  </w:style>
  <w:style w:type="paragraph" w:styleId="Plattetekst">
    <w:name w:val="Body Text"/>
    <w:basedOn w:val="Standaard"/>
    <w:link w:val="PlattetekstChar"/>
    <w:rsid w:val="00C55E4D"/>
    <w:pPr>
      <w:widowControl w:val="0"/>
      <w:suppressAutoHyphens/>
      <w:spacing w:after="120" w:line="240" w:lineRule="exact"/>
    </w:pPr>
    <w:rPr>
      <w:rFonts w:ascii="Times New Roman" w:eastAsia="Times" w:hAnsi="Times New Roman" w:cs="Times New Roman"/>
      <w:kern w:val="20"/>
      <w:szCs w:val="20"/>
    </w:rPr>
  </w:style>
  <w:style w:type="character" w:customStyle="1" w:styleId="PlattetekstChar">
    <w:name w:val="Platte tekst Char"/>
    <w:basedOn w:val="Standaardalinea-lettertype"/>
    <w:link w:val="Plattetekst"/>
    <w:rsid w:val="00C55E4D"/>
    <w:rPr>
      <w:rFonts w:ascii="Times New Roman" w:eastAsia="Times" w:hAnsi="Times New Roman" w:cs="Times New Roman"/>
      <w:kern w:val="20"/>
      <w:sz w:val="24"/>
      <w:szCs w:val="20"/>
      <w:lang w:val="en-GB"/>
    </w:rPr>
  </w:style>
  <w:style w:type="character" w:customStyle="1" w:styleId="IntroductionheadingChar">
    <w:name w:val="Introduction heading Char"/>
    <w:link w:val="Introductionheading"/>
    <w:rsid w:val="00C55E4D"/>
    <w:rPr>
      <w:rFonts w:ascii="Times New Roman" w:eastAsia="Times New Roman" w:hAnsi="Times New Roman" w:cs="Times New Roman"/>
      <w:b/>
      <w:caps/>
      <w:kern w:val="28"/>
      <w:sz w:val="24"/>
      <w:szCs w:val="24"/>
      <w:lang w:val="en-GB" w:eastAsia="de-DE"/>
    </w:rPr>
  </w:style>
  <w:style w:type="character" w:customStyle="1" w:styleId="ReferenceandabstractheadingChar">
    <w:name w:val="Reference and abstract heading Char"/>
    <w:link w:val="Referenceandabstractheading"/>
    <w:rsid w:val="00962BE8"/>
    <w:rPr>
      <w:rFonts w:asciiTheme="majorHAnsi" w:eastAsia="Times New Roman" w:hAnsiTheme="majorHAnsi" w:cs="Times New Roman"/>
      <w:b/>
      <w:caps/>
      <w:kern w:val="28"/>
      <w:sz w:val="24"/>
      <w:szCs w:val="24"/>
      <w:lang w:val="en-GB" w:eastAsia="de-DE"/>
    </w:rPr>
  </w:style>
  <w:style w:type="character" w:styleId="Hyperlink">
    <w:name w:val="Hyperlink"/>
    <w:basedOn w:val="Standaardalinea-lettertype"/>
    <w:uiPriority w:val="99"/>
    <w:unhideWhenUsed/>
    <w:rsid w:val="009A6653"/>
    <w:rPr>
      <w:color w:val="0563C1" w:themeColor="hyperlink"/>
      <w:u w:val="single"/>
    </w:rPr>
  </w:style>
  <w:style w:type="paragraph" w:styleId="Ballontekst">
    <w:name w:val="Balloon Text"/>
    <w:basedOn w:val="Standaard"/>
    <w:link w:val="BallontekstChar"/>
    <w:uiPriority w:val="99"/>
    <w:semiHidden/>
    <w:unhideWhenUsed/>
    <w:rsid w:val="001119F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19FE"/>
    <w:rPr>
      <w:rFonts w:ascii="Segoe UI" w:hAnsi="Segoe UI" w:cs="Segoe UI"/>
      <w:sz w:val="18"/>
      <w:szCs w:val="18"/>
      <w:lang w:val="en-GB"/>
    </w:rPr>
  </w:style>
  <w:style w:type="paragraph" w:styleId="Titel">
    <w:name w:val="Title"/>
    <w:basedOn w:val="Standaard"/>
    <w:next w:val="Authors"/>
    <w:link w:val="TitelChar"/>
    <w:qFormat/>
    <w:rsid w:val="0086318A"/>
    <w:pPr>
      <w:spacing w:before="220" w:after="600" w:line="240" w:lineRule="auto"/>
      <w:jc w:val="center"/>
      <w:outlineLvl w:val="0"/>
    </w:pPr>
    <w:rPr>
      <w:rFonts w:ascii="Arial Narrow" w:eastAsia="Arial Narrow" w:hAnsi="Arial Narrow" w:cs="Arial Narrow"/>
      <w:b/>
      <w:caps/>
      <w:kern w:val="28"/>
      <w:sz w:val="28"/>
      <w:szCs w:val="21"/>
      <w:lang w:eastAsia="hu-HU"/>
    </w:rPr>
  </w:style>
  <w:style w:type="character" w:customStyle="1" w:styleId="TitelChar">
    <w:name w:val="Titel Char"/>
    <w:basedOn w:val="Standaardalinea-lettertype"/>
    <w:link w:val="Titel"/>
    <w:rsid w:val="0086318A"/>
    <w:rPr>
      <w:rFonts w:ascii="Arial Narrow" w:eastAsia="Arial Narrow" w:hAnsi="Arial Narrow" w:cs="Arial Narrow"/>
      <w:b/>
      <w:caps/>
      <w:kern w:val="28"/>
      <w:sz w:val="28"/>
      <w:szCs w:val="21"/>
      <w:lang w:val="en-GB" w:eastAsia="hu-HU"/>
    </w:rPr>
  </w:style>
  <w:style w:type="paragraph" w:customStyle="1" w:styleId="Authors">
    <w:name w:val="Authors"/>
    <w:basedOn w:val="Plattetekst"/>
    <w:next w:val="Kop1"/>
    <w:autoRedefine/>
    <w:rsid w:val="001119FE"/>
    <w:pPr>
      <w:widowControl/>
      <w:pBdr>
        <w:bottom w:val="single" w:sz="4" w:space="11" w:color="auto"/>
      </w:pBdr>
      <w:suppressAutoHyphens w:val="0"/>
      <w:spacing w:after="220" w:line="240" w:lineRule="auto"/>
      <w:jc w:val="center"/>
    </w:pPr>
    <w:rPr>
      <w:rFonts w:ascii="Arial Narrow" w:eastAsia="Arial Narrow" w:hAnsi="Arial Narrow" w:cs="Arial Narrow"/>
      <w:i/>
      <w:iCs/>
      <w:kern w:val="0"/>
      <w:sz w:val="22"/>
      <w:szCs w:val="21"/>
      <w:lang w:eastAsia="hu-HU"/>
    </w:rPr>
  </w:style>
  <w:style w:type="character" w:styleId="GevolgdeHyperlink">
    <w:name w:val="FollowedHyperlink"/>
    <w:basedOn w:val="Standaardalinea-lettertype"/>
    <w:uiPriority w:val="99"/>
    <w:semiHidden/>
    <w:unhideWhenUsed/>
    <w:rsid w:val="004E114F"/>
    <w:rPr>
      <w:color w:val="954F72" w:themeColor="followedHyperlink"/>
      <w:u w:val="single"/>
    </w:rPr>
  </w:style>
  <w:style w:type="paragraph" w:customStyle="1" w:styleId="paperabstract">
    <w:name w:val="paper_abstract"/>
    <w:basedOn w:val="Standaard"/>
    <w:rsid w:val="00052D68"/>
    <w:pPr>
      <w:spacing w:before="100" w:beforeAutospacing="1" w:after="100" w:afterAutospacing="1" w:line="240" w:lineRule="auto"/>
    </w:pPr>
    <w:rPr>
      <w:rFonts w:ascii="Times New Roman" w:eastAsia="Times New Roman" w:hAnsi="Times New Roman" w:cs="Times New Roman"/>
      <w:szCs w:val="24"/>
      <w:lang w:val="en-US"/>
    </w:rPr>
  </w:style>
  <w:style w:type="character" w:styleId="Verwijzingopmerking">
    <w:name w:val="annotation reference"/>
    <w:basedOn w:val="Standaardalinea-lettertype"/>
    <w:uiPriority w:val="99"/>
    <w:semiHidden/>
    <w:unhideWhenUsed/>
    <w:rsid w:val="000E1B1B"/>
    <w:rPr>
      <w:sz w:val="16"/>
      <w:szCs w:val="16"/>
    </w:rPr>
  </w:style>
  <w:style w:type="paragraph" w:styleId="Tekstopmerking">
    <w:name w:val="annotation text"/>
    <w:basedOn w:val="Standaard"/>
    <w:link w:val="TekstopmerkingChar"/>
    <w:uiPriority w:val="99"/>
    <w:semiHidden/>
    <w:unhideWhenUsed/>
    <w:rsid w:val="000E1B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1B1B"/>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E1B1B"/>
    <w:rPr>
      <w:b/>
      <w:bCs/>
    </w:rPr>
  </w:style>
  <w:style w:type="character" w:customStyle="1" w:styleId="OnderwerpvanopmerkingChar">
    <w:name w:val="Onderwerp van opmerking Char"/>
    <w:basedOn w:val="TekstopmerkingChar"/>
    <w:link w:val="Onderwerpvanopmerking"/>
    <w:uiPriority w:val="99"/>
    <w:semiHidden/>
    <w:rsid w:val="000E1B1B"/>
    <w:rPr>
      <w:b/>
      <w:bCs/>
      <w:sz w:val="20"/>
      <w:szCs w:val="20"/>
      <w:lang w:val="en-GB"/>
    </w:rPr>
  </w:style>
  <w:style w:type="paragraph" w:styleId="Ondertitel">
    <w:name w:val="Subtitle"/>
    <w:basedOn w:val="Bijschrift"/>
    <w:next w:val="Standaard"/>
    <w:link w:val="OndertitelChar"/>
    <w:uiPriority w:val="11"/>
    <w:rsid w:val="00886659"/>
    <w:pPr>
      <w:spacing w:before="0" w:after="360"/>
    </w:pPr>
    <w:rPr>
      <w:rFonts w:ascii="Arial" w:hAnsi="Arial" w:cs="Arial"/>
      <w:szCs w:val="24"/>
      <w:lang w:val="en-US"/>
    </w:rPr>
  </w:style>
  <w:style w:type="character" w:customStyle="1" w:styleId="OndertitelChar">
    <w:name w:val="Ondertitel Char"/>
    <w:basedOn w:val="Standaardalinea-lettertype"/>
    <w:link w:val="Ondertitel"/>
    <w:uiPriority w:val="11"/>
    <w:rsid w:val="00886659"/>
    <w:rPr>
      <w:rFonts w:ascii="Arial" w:eastAsia="Times New Roman" w:hAnsi="Arial" w:cs="Arial"/>
      <w:b/>
      <w:sz w:val="24"/>
      <w:szCs w:val="24"/>
      <w:lang w:val="en-US" w:eastAsia="de-DE"/>
    </w:rPr>
  </w:style>
  <w:style w:type="paragraph" w:customStyle="1" w:styleId="Authorlist">
    <w:name w:val="Author_list"/>
    <w:basedOn w:val="Plattetekst"/>
    <w:link w:val="AuthorlistChar"/>
    <w:qFormat/>
    <w:rsid w:val="00886659"/>
    <w:pPr>
      <w:spacing w:after="240" w:line="240" w:lineRule="auto"/>
      <w:jc w:val="center"/>
    </w:pPr>
    <w:rPr>
      <w:rFonts w:asciiTheme="minorHAnsi" w:hAnsiTheme="minorHAnsi" w:cs="Arial"/>
      <w:szCs w:val="24"/>
      <w:lang w:val="en-US"/>
    </w:rPr>
  </w:style>
  <w:style w:type="paragraph" w:customStyle="1" w:styleId="Keywords">
    <w:name w:val="Keywords"/>
    <w:basedOn w:val="Standaard"/>
    <w:link w:val="KeywordsChar"/>
    <w:qFormat/>
    <w:rsid w:val="0086318A"/>
    <w:pPr>
      <w:spacing w:before="480" w:after="480"/>
      <w:contextualSpacing/>
    </w:pPr>
    <w:rPr>
      <w:rFonts w:cs="Arial"/>
      <w:i/>
      <w:szCs w:val="24"/>
      <w:lang w:val="en-US"/>
    </w:rPr>
  </w:style>
  <w:style w:type="character" w:customStyle="1" w:styleId="AuthorlistChar">
    <w:name w:val="Author_list Char"/>
    <w:basedOn w:val="PlattetekstChar"/>
    <w:link w:val="Authorlist"/>
    <w:rsid w:val="00886659"/>
    <w:rPr>
      <w:rFonts w:ascii="Times New Roman" w:eastAsia="Times" w:hAnsi="Times New Roman" w:cs="Arial"/>
      <w:kern w:val="20"/>
      <w:sz w:val="24"/>
      <w:szCs w:val="24"/>
      <w:lang w:val="en-US"/>
    </w:rPr>
  </w:style>
  <w:style w:type="paragraph" w:customStyle="1" w:styleId="abstract">
    <w:name w:val="abstract"/>
    <w:basedOn w:val="Standaard"/>
    <w:link w:val="abstractChar"/>
    <w:qFormat/>
    <w:rsid w:val="00D8450C"/>
  </w:style>
  <w:style w:type="character" w:customStyle="1" w:styleId="KeywordsChar">
    <w:name w:val="Keywords Char"/>
    <w:basedOn w:val="Standaardalinea-lettertype"/>
    <w:link w:val="Keywords"/>
    <w:rsid w:val="0086318A"/>
    <w:rPr>
      <w:rFonts w:cs="Arial"/>
      <w:i/>
      <w:sz w:val="24"/>
      <w:szCs w:val="24"/>
      <w:lang w:val="en-US"/>
    </w:rPr>
  </w:style>
  <w:style w:type="paragraph" w:customStyle="1" w:styleId="Listofreferences">
    <w:name w:val="List_of_references"/>
    <w:basedOn w:val="Standaard"/>
    <w:link w:val="ListofreferencesChar"/>
    <w:qFormat/>
    <w:rsid w:val="00962BE8"/>
    <w:pPr>
      <w:spacing w:after="60" w:line="240" w:lineRule="auto"/>
    </w:pPr>
    <w:rPr>
      <w:sz w:val="22"/>
      <w:lang w:val="en-US"/>
    </w:rPr>
  </w:style>
  <w:style w:type="character" w:customStyle="1" w:styleId="abstractChar">
    <w:name w:val="abstract Char"/>
    <w:basedOn w:val="Standaardalinea-lettertype"/>
    <w:link w:val="abstract"/>
    <w:rsid w:val="00D8450C"/>
    <w:rPr>
      <w:sz w:val="24"/>
      <w:lang w:val="en-GB"/>
    </w:rPr>
  </w:style>
  <w:style w:type="paragraph" w:customStyle="1" w:styleId="CaptionTablesFigures">
    <w:name w:val="CaptionTablesFigures"/>
    <w:basedOn w:val="Standaard"/>
    <w:link w:val="CaptionTablesFiguresChar"/>
    <w:qFormat/>
    <w:rsid w:val="00E467F8"/>
    <w:pPr>
      <w:spacing w:before="120" w:line="240" w:lineRule="auto"/>
      <w:jc w:val="center"/>
    </w:pPr>
    <w:rPr>
      <w:rFonts w:cs="Arial"/>
      <w:i/>
      <w:sz w:val="20"/>
    </w:rPr>
  </w:style>
  <w:style w:type="character" w:customStyle="1" w:styleId="ListofreferencesChar">
    <w:name w:val="List_of_references Char"/>
    <w:basedOn w:val="Standaardalinea-lettertype"/>
    <w:link w:val="Listofreferences"/>
    <w:rsid w:val="00962BE8"/>
    <w:rPr>
      <w:lang w:val="en-US"/>
    </w:rPr>
  </w:style>
  <w:style w:type="paragraph" w:customStyle="1" w:styleId="authorfootnote">
    <w:name w:val="author_footnote"/>
    <w:basedOn w:val="Standaard"/>
    <w:link w:val="authorfootnoteChar"/>
    <w:qFormat/>
    <w:rsid w:val="00E467F8"/>
    <w:rPr>
      <w:rFonts w:cs="Arial"/>
      <w:i/>
      <w:sz w:val="20"/>
    </w:rPr>
  </w:style>
  <w:style w:type="character" w:customStyle="1" w:styleId="TableChar">
    <w:name w:val="Table Char"/>
    <w:basedOn w:val="Standaardalinea-lettertype"/>
    <w:link w:val="Table"/>
    <w:rsid w:val="00962BE8"/>
    <w:rPr>
      <w:rFonts w:ascii="Times New Roman" w:eastAsia="Times New Roman" w:hAnsi="Times New Roman" w:cs="Times New Roman"/>
      <w:sz w:val="24"/>
      <w:szCs w:val="24"/>
      <w:lang w:val="en-GB" w:eastAsia="de-DE"/>
    </w:rPr>
  </w:style>
  <w:style w:type="character" w:customStyle="1" w:styleId="CaptionTablesFiguresChar">
    <w:name w:val="CaptionTablesFigures Char"/>
    <w:basedOn w:val="TableChar"/>
    <w:link w:val="CaptionTablesFigures"/>
    <w:rsid w:val="00E467F8"/>
    <w:rPr>
      <w:rFonts w:ascii="Times New Roman" w:eastAsia="Times New Roman" w:hAnsi="Times New Roman" w:cs="Arial"/>
      <w:i/>
      <w:sz w:val="20"/>
      <w:szCs w:val="24"/>
      <w:lang w:val="en-GB" w:eastAsia="de-DE"/>
    </w:rPr>
  </w:style>
  <w:style w:type="character" w:customStyle="1" w:styleId="authorfootnoteChar">
    <w:name w:val="author_footnote Char"/>
    <w:basedOn w:val="Standaardalinea-lettertype"/>
    <w:link w:val="authorfootnote"/>
    <w:rsid w:val="00E467F8"/>
    <w:rPr>
      <w:rFonts w:cs="Arial"/>
      <w:i/>
      <w:sz w:val="20"/>
      <w:lang w:val="en-GB"/>
    </w:rPr>
  </w:style>
  <w:style w:type="paragraph" w:customStyle="1" w:styleId="AbstractTitle">
    <w:name w:val="Abstract Title"/>
    <w:basedOn w:val="Referenceandabstractheading"/>
    <w:link w:val="AbstractTitleChar"/>
    <w:qFormat/>
    <w:rsid w:val="004F4B37"/>
  </w:style>
  <w:style w:type="character" w:customStyle="1" w:styleId="AbstractTitleChar">
    <w:name w:val="Abstract Title Char"/>
    <w:basedOn w:val="ReferenceandabstractheadingChar"/>
    <w:link w:val="AbstractTitle"/>
    <w:rsid w:val="004F4B37"/>
    <w:rPr>
      <w:rFonts w:asciiTheme="majorHAnsi" w:eastAsia="Times New Roman" w:hAnsiTheme="majorHAnsi" w:cs="Times New Roman"/>
      <w:b/>
      <w:caps/>
      <w:kern w:val="28"/>
      <w:sz w:val="24"/>
      <w:szCs w:val="24"/>
      <w:lang w:val="en-GB" w:eastAsia="de-DE"/>
    </w:rPr>
  </w:style>
  <w:style w:type="paragraph" w:styleId="Geenafstand">
    <w:name w:val="No Spacing"/>
    <w:uiPriority w:val="1"/>
    <w:qFormat/>
    <w:rsid w:val="00522523"/>
    <w:pPr>
      <w:spacing w:after="0" w:line="240" w:lineRule="auto"/>
      <w:ind w:firstLine="454"/>
    </w:pPr>
    <w:rPr>
      <w:rFonts w:ascii="Times New Roman" w:hAnsi="Times New Roman"/>
      <w:sz w:val="20"/>
      <w:lang w:val="en-GB"/>
    </w:rPr>
  </w:style>
  <w:style w:type="paragraph" w:customStyle="1" w:styleId="Kop30">
    <w:name w:val="Kop3"/>
    <w:basedOn w:val="Standaard"/>
    <w:autoRedefine/>
    <w:qFormat/>
    <w:rsid w:val="008332AF"/>
    <w:pPr>
      <w:spacing w:before="240" w:after="120" w:line="240" w:lineRule="auto"/>
    </w:pPr>
    <w:rPr>
      <w:rFonts w:ascii="Times New Roman" w:hAnsi="Times New Roman" w:cstheme="minorBidi"/>
      <w:b/>
      <w:sz w:val="20"/>
      <w:lang w:val="en-US"/>
    </w:rPr>
  </w:style>
  <w:style w:type="paragraph" w:customStyle="1" w:styleId="Bulletedlist">
    <w:name w:val="Bulleted list"/>
    <w:basedOn w:val="Lijstalinea"/>
    <w:qFormat/>
    <w:rsid w:val="008332AF"/>
    <w:pPr>
      <w:numPr>
        <w:numId w:val="2"/>
      </w:numPr>
      <w:tabs>
        <w:tab w:val="num" w:pos="360"/>
      </w:tabs>
      <w:spacing w:line="280" w:lineRule="atLeast"/>
      <w:ind w:left="720" w:firstLine="0"/>
    </w:pPr>
    <w:rPr>
      <w:rFonts w:ascii="Times New Roman" w:eastAsia="Times New Roman" w:hAnsi="Times New Roman" w:cs="Times New Roman"/>
      <w:sz w:val="20"/>
      <w:lang w:eastAsia="bg-BG"/>
    </w:rPr>
  </w:style>
  <w:style w:type="paragraph" w:styleId="Lijstalinea">
    <w:name w:val="List Paragraph"/>
    <w:basedOn w:val="Standaard"/>
    <w:uiPriority w:val="34"/>
    <w:rsid w:val="008332AF"/>
    <w:pPr>
      <w:ind w:left="720"/>
      <w:contextualSpacing/>
    </w:pPr>
  </w:style>
  <w:style w:type="table" w:styleId="Tabelraster">
    <w:name w:val="Table Grid"/>
    <w:basedOn w:val="Standaardtabel"/>
    <w:uiPriority w:val="59"/>
    <w:rsid w:val="008332AF"/>
    <w:pPr>
      <w:spacing w:after="0" w:line="24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2zondernummer">
    <w:name w:val="Kop 2 zonder nummer"/>
    <w:basedOn w:val="Kop2"/>
    <w:next w:val="Standaard"/>
    <w:qFormat/>
    <w:rsid w:val="003553F6"/>
    <w:pPr>
      <w:keepLines/>
      <w:numPr>
        <w:ilvl w:val="0"/>
        <w:numId w:val="0"/>
      </w:numPr>
      <w:tabs>
        <w:tab w:val="clear" w:pos="454"/>
      </w:tabs>
      <w:spacing w:before="0" w:after="260"/>
      <w:contextualSpacing w:val="0"/>
    </w:pPr>
    <w:rPr>
      <w:rFonts w:eastAsiaTheme="majorEastAsia" w:cstheme="majorBidi"/>
      <w:spacing w:val="22"/>
      <w:sz w:val="22"/>
      <w:szCs w:val="26"/>
      <w:lang w:val="nl-NL" w:eastAsia="en-US"/>
    </w:rPr>
  </w:style>
  <w:style w:type="paragraph" w:customStyle="1" w:styleId="EndNoteBibliographyTitle">
    <w:name w:val="EndNote Bibliography Title"/>
    <w:basedOn w:val="Standaard"/>
    <w:link w:val="EndNoteBibliographyTitleChar"/>
    <w:rsid w:val="00C055E6"/>
    <w:pPr>
      <w:jc w:val="center"/>
    </w:pPr>
    <w:rPr>
      <w:rFonts w:cs="Arial"/>
      <w:lang w:val="en-US"/>
    </w:rPr>
  </w:style>
  <w:style w:type="character" w:customStyle="1" w:styleId="EndNoteBibliographyTitleChar">
    <w:name w:val="EndNote Bibliography Title Char"/>
    <w:basedOn w:val="TitelChar"/>
    <w:link w:val="EndNoteBibliographyTitle"/>
    <w:rsid w:val="00C055E6"/>
    <w:rPr>
      <w:rFonts w:ascii="Arial" w:eastAsia="Arial Narrow" w:hAnsi="Arial" w:cs="Arial"/>
      <w:b w:val="0"/>
      <w:caps w:val="0"/>
      <w:kern w:val="28"/>
      <w:sz w:val="24"/>
      <w:szCs w:val="21"/>
      <w:lang w:val="en-US" w:eastAsia="hu-HU"/>
    </w:rPr>
  </w:style>
  <w:style w:type="paragraph" w:customStyle="1" w:styleId="EndNoteBibliography">
    <w:name w:val="EndNote Bibliography"/>
    <w:basedOn w:val="Standaard"/>
    <w:link w:val="EndNoteBibliographyChar"/>
    <w:rsid w:val="00C055E6"/>
    <w:pPr>
      <w:spacing w:line="240" w:lineRule="auto"/>
      <w:jc w:val="both"/>
    </w:pPr>
    <w:rPr>
      <w:rFonts w:cs="Arial"/>
      <w:lang w:val="en-US"/>
    </w:rPr>
  </w:style>
  <w:style w:type="character" w:customStyle="1" w:styleId="EndNoteBibliographyChar">
    <w:name w:val="EndNote Bibliography Char"/>
    <w:basedOn w:val="TitelChar"/>
    <w:link w:val="EndNoteBibliography"/>
    <w:rsid w:val="00C055E6"/>
    <w:rPr>
      <w:rFonts w:ascii="Arial" w:eastAsia="Arial Narrow" w:hAnsi="Arial" w:cs="Arial"/>
      <w:b w:val="0"/>
      <w:caps w:val="0"/>
      <w:kern w:val="28"/>
      <w:sz w:val="24"/>
      <w:szCs w:val="21"/>
      <w:lang w:val="en-US"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132876">
      <w:bodyDiv w:val="1"/>
      <w:marLeft w:val="0"/>
      <w:marRight w:val="0"/>
      <w:marTop w:val="0"/>
      <w:marBottom w:val="0"/>
      <w:divBdr>
        <w:top w:val="none" w:sz="0" w:space="0" w:color="auto"/>
        <w:left w:val="none" w:sz="0" w:space="0" w:color="auto"/>
        <w:bottom w:val="none" w:sz="0" w:space="0" w:color="auto"/>
        <w:right w:val="none" w:sz="0" w:space="0" w:color="auto"/>
      </w:divBdr>
      <w:divsChild>
        <w:div w:id="1368481697">
          <w:marLeft w:val="0"/>
          <w:marRight w:val="0"/>
          <w:marTop w:val="96"/>
          <w:marBottom w:val="24"/>
          <w:divBdr>
            <w:top w:val="none" w:sz="0" w:space="0" w:color="auto"/>
            <w:left w:val="none" w:sz="0" w:space="0" w:color="auto"/>
            <w:bottom w:val="none" w:sz="0" w:space="0" w:color="auto"/>
            <w:right w:val="none" w:sz="0" w:space="0" w:color="auto"/>
          </w:divBdr>
        </w:div>
      </w:divsChild>
    </w:div>
    <w:div w:id="19678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312899C-47C7-4404-B9CC-025620BA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6952</Words>
  <Characters>38237</Characters>
  <Application>Microsoft Office Word</Application>
  <DocSecurity>0</DocSecurity>
  <Lines>318</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DTU</Company>
  <LinksUpToDate>false</LinksUpToDate>
  <CharactersWithSpaces>45099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Schmidt</dc:creator>
  <cp:keywords/>
  <dc:description/>
  <cp:lastModifiedBy>Jasmijn</cp:lastModifiedBy>
  <cp:revision>3</cp:revision>
  <cp:lastPrinted>2020-07-28T14:14:00Z</cp:lastPrinted>
  <dcterms:created xsi:type="dcterms:W3CDTF">2020-08-02T14:19:00Z</dcterms:created>
  <dcterms:modified xsi:type="dcterms:W3CDTF">2020-09-02T15:11:00Z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http://www.zotero.org/styles/plos-one</vt:lpwstr>
  </property>
  <property fmtid="{D5CDD505-2E9C-101B-9397-08002B2CF9AE}" pid="21" name="Mendeley Recent Style Name 9_1">
    <vt:lpwstr>PLOS ONE</vt:lpwstr>
  </property>
</Properties>
</file>