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97C1F" w14:textId="3BFF227B" w:rsidR="001800FB" w:rsidRPr="000A3911" w:rsidRDefault="00404368" w:rsidP="00972AB2">
      <w:pPr>
        <w:pStyle w:val="Title"/>
        <w:rPr>
          <w:rStyle w:val="SubtleEmphasis"/>
          <w:b/>
          <w:i w:val="0"/>
          <w:color w:val="17365D" w:themeColor="text2" w:themeShade="BF"/>
          <w:sz w:val="48"/>
          <w:szCs w:val="48"/>
        </w:rPr>
      </w:pPr>
      <w:r w:rsidRPr="000A3911">
        <w:rPr>
          <w:rStyle w:val="SubtleEmphasis"/>
          <w:b/>
          <w:i w:val="0"/>
          <w:color w:val="17365D" w:themeColor="text2" w:themeShade="BF"/>
          <w:sz w:val="48"/>
          <w:szCs w:val="48"/>
        </w:rPr>
        <w:t>Planning</w:t>
      </w:r>
      <w:r w:rsidR="00503662">
        <w:rPr>
          <w:rStyle w:val="SubtleEmphasis"/>
          <w:b/>
          <w:i w:val="0"/>
          <w:color w:val="17365D" w:themeColor="text2" w:themeShade="BF"/>
          <w:sz w:val="48"/>
          <w:szCs w:val="48"/>
        </w:rPr>
        <w:t xml:space="preserve"> </w:t>
      </w:r>
    </w:p>
    <w:p w14:paraId="1DC4E3E8" w14:textId="1F7037F4" w:rsidR="00972AB2" w:rsidRPr="000A3911" w:rsidRDefault="00404368" w:rsidP="00972AB2">
      <w:pPr>
        <w:pStyle w:val="Title"/>
        <w:rPr>
          <w:iCs/>
          <w:sz w:val="48"/>
          <w:szCs w:val="48"/>
        </w:rPr>
      </w:pPr>
      <w:r w:rsidRPr="000A3911">
        <w:rPr>
          <w:rStyle w:val="SubtleEmphasis"/>
          <w:i w:val="0"/>
          <w:color w:val="17365D" w:themeColor="text2" w:themeShade="BF"/>
          <w:sz w:val="48"/>
          <w:szCs w:val="48"/>
        </w:rPr>
        <w:t>USE learning line on Globalization</w:t>
      </w:r>
    </w:p>
    <w:p w14:paraId="7CE6A843" w14:textId="1CC40F5D" w:rsidR="001C264F" w:rsidRPr="000A3911" w:rsidRDefault="001C264F" w:rsidP="00972AB2">
      <w:pPr>
        <w:jc w:val="center"/>
        <w:rPr>
          <w:b/>
          <w:color w:val="17365D" w:themeColor="text2" w:themeShade="BF"/>
        </w:rPr>
      </w:pPr>
      <w:r w:rsidRPr="000A3911">
        <w:rPr>
          <w:b/>
          <w:color w:val="17365D" w:themeColor="text2" w:themeShade="BF"/>
        </w:rPr>
        <w:t xml:space="preserve">Dr. Johanna I. </w:t>
      </w:r>
      <w:r w:rsidR="00404368" w:rsidRPr="000A3911">
        <w:rPr>
          <w:b/>
          <w:color w:val="17365D" w:themeColor="text2" w:themeShade="BF"/>
        </w:rPr>
        <w:t>Höffken</w:t>
      </w:r>
      <w:r w:rsidR="0010696E" w:rsidRPr="000A3911">
        <w:rPr>
          <w:b/>
          <w:color w:val="17365D" w:themeColor="text2" w:themeShade="BF"/>
        </w:rPr>
        <w:t xml:space="preserve">, </w:t>
      </w:r>
      <w:r w:rsidR="00972AB2" w:rsidRPr="000A3911">
        <w:rPr>
          <w:b/>
          <w:color w:val="17365D" w:themeColor="text2" w:themeShade="BF"/>
        </w:rPr>
        <w:t>IE&amp;</w:t>
      </w:r>
      <w:r w:rsidR="000B6AF0" w:rsidRPr="000A3911">
        <w:rPr>
          <w:b/>
          <w:color w:val="17365D" w:themeColor="text2" w:themeShade="BF"/>
        </w:rPr>
        <w:t>IS</w:t>
      </w:r>
      <w:r w:rsidR="006C15A7" w:rsidRPr="000A3911">
        <w:rPr>
          <w:b/>
          <w:color w:val="17365D" w:themeColor="text2" w:themeShade="BF"/>
        </w:rPr>
        <w:t xml:space="preserve">, </w:t>
      </w:r>
      <w:r w:rsidR="000B6AF0" w:rsidRPr="000A3911">
        <w:rPr>
          <w:b/>
          <w:color w:val="17365D" w:themeColor="text2" w:themeShade="BF"/>
        </w:rPr>
        <w:t>in collaboration with EE and BE</w:t>
      </w:r>
    </w:p>
    <w:p w14:paraId="5C46764B" w14:textId="07C62318" w:rsidR="00062010" w:rsidRPr="000A3911" w:rsidRDefault="00336594" w:rsidP="00040E86">
      <w:pPr>
        <w:jc w:val="center"/>
        <w:rPr>
          <w:color w:val="17365D" w:themeColor="text2" w:themeShade="BF"/>
        </w:rPr>
      </w:pPr>
      <w:r>
        <w:rPr>
          <w:color w:val="17365D" w:themeColor="text2" w:themeShade="BF"/>
        </w:rPr>
        <w:t>January 31</w:t>
      </w:r>
      <w:bookmarkStart w:id="0" w:name="_GoBack"/>
      <w:bookmarkEnd w:id="0"/>
      <w:r w:rsidR="00972AB2" w:rsidRPr="000A3911">
        <w:rPr>
          <w:color w:val="17365D" w:themeColor="text2" w:themeShade="BF"/>
        </w:rPr>
        <w:t>, 2017</w:t>
      </w:r>
    </w:p>
    <w:p w14:paraId="71D203D9" w14:textId="1F4D1667" w:rsidR="00F62BE6" w:rsidRDefault="001C264F" w:rsidP="00AC710E">
      <w:pPr>
        <w:pStyle w:val="Heading1"/>
      </w:pPr>
      <w:r>
        <w:t xml:space="preserve">Introduction </w:t>
      </w:r>
    </w:p>
    <w:p w14:paraId="69E61F40" w14:textId="45DA9DBA" w:rsidR="00780F0F" w:rsidRDefault="001C264F" w:rsidP="001C264F">
      <w:r>
        <w:t>This is a revised and tightened version of a proposal to develop a USE learning line on globalization. An earlier version (October 19, 2016) was discussed on October 31</w:t>
      </w:r>
      <w:r w:rsidR="00780F0F">
        <w:t>, 2016</w:t>
      </w:r>
      <w:r>
        <w:t>. This version at hand includes comments that emerged from the October discussion.</w:t>
      </w:r>
      <w:r w:rsidR="00571A40">
        <w:t xml:space="preserve"> </w:t>
      </w:r>
      <w:r w:rsidR="00F20DF2">
        <w:t>I</w:t>
      </w:r>
      <w:r w:rsidR="00BF3905">
        <w:t>ts main focus</w:t>
      </w:r>
      <w:r w:rsidR="00F20DF2">
        <w:t xml:space="preserve">, however, </w:t>
      </w:r>
      <w:r w:rsidR="00780F0F">
        <w:t xml:space="preserve">will not be on the content of the learning line, as </w:t>
      </w:r>
      <w:r w:rsidR="00503662">
        <w:t>its main contours have</w:t>
      </w:r>
      <w:r w:rsidR="00780F0F">
        <w:t xml:space="preserve"> </w:t>
      </w:r>
      <w:r w:rsidR="00040E86">
        <w:t xml:space="preserve">already </w:t>
      </w:r>
      <w:r w:rsidR="00780F0F">
        <w:t>been described. The</w:t>
      </w:r>
      <w:r>
        <w:t xml:space="preserve"> aim </w:t>
      </w:r>
      <w:r w:rsidR="00780F0F">
        <w:t xml:space="preserve">of this document </w:t>
      </w:r>
      <w:r>
        <w:t xml:space="preserve">is to </w:t>
      </w:r>
      <w:r w:rsidR="00571A40">
        <w:t xml:space="preserve">provide an outline </w:t>
      </w:r>
      <w:r w:rsidR="00780F0F">
        <w:t xml:space="preserve">of the planning to implement the proposed USE learning line. </w:t>
      </w:r>
    </w:p>
    <w:p w14:paraId="75772687" w14:textId="77777777" w:rsidR="00780F0F" w:rsidRDefault="00780F0F" w:rsidP="001C264F"/>
    <w:p w14:paraId="1BB882A0" w14:textId="1078044D" w:rsidR="00063188" w:rsidRDefault="00063188" w:rsidP="001C264F">
      <w:r>
        <w:t>The document is structured as follows:</w:t>
      </w:r>
    </w:p>
    <w:p w14:paraId="0DC6F99F" w14:textId="6BC90B50" w:rsidR="00040E86" w:rsidRDefault="002C6317" w:rsidP="002C0CC4">
      <w:r>
        <w:t>T</w:t>
      </w:r>
      <w:r w:rsidR="00063188">
        <w:t xml:space="preserve">he document will </w:t>
      </w:r>
      <w:r w:rsidR="00D15F10">
        <w:t>portray</w:t>
      </w:r>
      <w:r w:rsidR="00063188">
        <w:t xml:space="preserve"> the core characteristics of the learning line (section 1)</w:t>
      </w:r>
      <w:r w:rsidR="00D15F10">
        <w:t xml:space="preserve">. This provides the context for the subsequent description of </w:t>
      </w:r>
      <w:r w:rsidR="00063188">
        <w:t xml:space="preserve">the </w:t>
      </w:r>
      <w:r w:rsidR="00D15F10">
        <w:t xml:space="preserve">learning line’s milestone </w:t>
      </w:r>
      <w:r w:rsidR="00063188">
        <w:t xml:space="preserve">planning </w:t>
      </w:r>
      <w:r w:rsidR="002C0CC4">
        <w:t>(section 2).</w:t>
      </w:r>
      <w:r w:rsidR="00063188">
        <w:t xml:space="preserve"> </w:t>
      </w:r>
      <w:r w:rsidR="00C47963">
        <w:t>The annex will provide a table-overview of the alignment w</w:t>
      </w:r>
      <w:r w:rsidR="002C0CC4">
        <w:t xml:space="preserve">ith the </w:t>
      </w:r>
      <w:r w:rsidR="00F20DF2">
        <w:t xml:space="preserve">overall </w:t>
      </w:r>
      <w:r w:rsidR="002C0CC4">
        <w:t>learning objectives</w:t>
      </w:r>
      <w:r w:rsidR="00F20DF2">
        <w:t xml:space="preserve"> </w:t>
      </w:r>
      <w:r w:rsidR="003254B5">
        <w:t xml:space="preserve">defined for </w:t>
      </w:r>
      <w:r w:rsidR="007E02F1">
        <w:t xml:space="preserve">all </w:t>
      </w:r>
      <w:r w:rsidR="003254B5">
        <w:t>USE courses</w:t>
      </w:r>
      <w:r w:rsidR="00C47963">
        <w:t>.</w:t>
      </w:r>
    </w:p>
    <w:p w14:paraId="74246E39" w14:textId="77777777" w:rsidR="00953365" w:rsidRDefault="00953365" w:rsidP="002C0CC4"/>
    <w:p w14:paraId="32D27B1A" w14:textId="4B0990EC" w:rsidR="00404368" w:rsidRDefault="00C900F5" w:rsidP="00312E7E">
      <w:pPr>
        <w:pStyle w:val="Heading1"/>
        <w:numPr>
          <w:ilvl w:val="0"/>
          <w:numId w:val="13"/>
        </w:numPr>
        <w:ind w:left="426" w:hanging="426"/>
      </w:pPr>
      <w:r>
        <w:t>Core characteristics of the learning line</w:t>
      </w:r>
    </w:p>
    <w:p w14:paraId="20EA9764" w14:textId="77777777" w:rsidR="00F62BE6" w:rsidRDefault="00F62BE6" w:rsidP="00C900F5"/>
    <w:p w14:paraId="38E96866" w14:textId="59F44C3C" w:rsidR="00B95B31" w:rsidRDefault="00B95B31" w:rsidP="00C900F5">
      <w:r>
        <w:t xml:space="preserve">The learning line </w:t>
      </w:r>
      <w:r w:rsidR="008A032E">
        <w:t xml:space="preserve">is </w:t>
      </w:r>
      <w:r>
        <w:t>characterized by t</w:t>
      </w:r>
      <w:r w:rsidR="00F62BE6">
        <w:t>h</w:t>
      </w:r>
      <w:r w:rsidR="00EF4BE1">
        <w:t>ree main features:</w:t>
      </w:r>
      <w:r w:rsidR="00FC0C33">
        <w:t xml:space="preserve"> </w:t>
      </w:r>
      <w:r w:rsidR="00EF4BE1">
        <w:t xml:space="preserve">globalization, integration and innovation. Each dimension will be described below. </w:t>
      </w:r>
      <w:r w:rsidR="00D80671">
        <w:t xml:space="preserve">It </w:t>
      </w:r>
      <w:r w:rsidR="00420E91">
        <w:t xml:space="preserve">thereby </w:t>
      </w:r>
      <w:r w:rsidR="00D80671">
        <w:t>set</w:t>
      </w:r>
      <w:r w:rsidR="00420E91">
        <w:t>s</w:t>
      </w:r>
      <w:r w:rsidR="00D80671">
        <w:t xml:space="preserve"> the context for the ensuing </w:t>
      </w:r>
      <w:r w:rsidR="00420E91">
        <w:t>planning of the milestones.</w:t>
      </w:r>
    </w:p>
    <w:p w14:paraId="1F41E1C8" w14:textId="77777777" w:rsidR="00EF4BE1" w:rsidRDefault="00EF4BE1" w:rsidP="00C900F5"/>
    <w:p w14:paraId="49732652" w14:textId="57652D70" w:rsidR="00B95B31" w:rsidRDefault="00EF4BE1" w:rsidP="00EF4BE1">
      <w:pPr>
        <w:pStyle w:val="ListParagraph"/>
        <w:numPr>
          <w:ilvl w:val="0"/>
          <w:numId w:val="14"/>
        </w:numPr>
      </w:pPr>
      <w:r>
        <w:t>Globalization</w:t>
      </w:r>
    </w:p>
    <w:p w14:paraId="74A456B0" w14:textId="4BF067F9" w:rsidR="00E80672" w:rsidRPr="00E80672" w:rsidRDefault="00E80672" w:rsidP="00C900F5">
      <w:pPr>
        <w:rPr>
          <w:b/>
        </w:rPr>
      </w:pPr>
      <w:r w:rsidRPr="00E80672">
        <w:rPr>
          <w:b/>
        </w:rPr>
        <w:t>In the</w:t>
      </w:r>
      <w:r w:rsidR="00DE2A9D" w:rsidRPr="00E80672">
        <w:rPr>
          <w:b/>
        </w:rPr>
        <w:t xml:space="preserve"> learning line </w:t>
      </w:r>
      <w:r w:rsidRPr="00E80672">
        <w:rPr>
          <w:b/>
        </w:rPr>
        <w:t>students</w:t>
      </w:r>
      <w:r w:rsidR="00DE2A9D" w:rsidRPr="00E80672">
        <w:rPr>
          <w:b/>
        </w:rPr>
        <w:t xml:space="preserve"> </w:t>
      </w:r>
      <w:r w:rsidRPr="00E80672">
        <w:rPr>
          <w:b/>
        </w:rPr>
        <w:t xml:space="preserve">learn about globalization and </w:t>
      </w:r>
      <w:r w:rsidR="00D830D4">
        <w:rPr>
          <w:b/>
        </w:rPr>
        <w:t xml:space="preserve">how </w:t>
      </w:r>
      <w:r w:rsidRPr="00E80672">
        <w:rPr>
          <w:b/>
        </w:rPr>
        <w:t>to engage with, design and interact in</w:t>
      </w:r>
      <w:r w:rsidR="004B2A8E">
        <w:rPr>
          <w:b/>
        </w:rPr>
        <w:t xml:space="preserve"> and for</w:t>
      </w:r>
      <w:r w:rsidRPr="00E80672">
        <w:rPr>
          <w:b/>
        </w:rPr>
        <w:t xml:space="preserve"> a global context.</w:t>
      </w:r>
    </w:p>
    <w:p w14:paraId="41352E68" w14:textId="1204F78E" w:rsidR="00E80672" w:rsidRDefault="00E80672" w:rsidP="00C900F5">
      <w:r>
        <w:t>S</w:t>
      </w:r>
      <w:r w:rsidRPr="0095524C">
        <w:t>tudents will experience and learn about the importance to consider diverse social and cultural contexts, user backgrounds and expectations and ethical implications when designing technology interventions.</w:t>
      </w:r>
    </w:p>
    <w:p w14:paraId="79EA9E57" w14:textId="77777777" w:rsidR="00EF4BE1" w:rsidRDefault="00EF4BE1" w:rsidP="00C900F5"/>
    <w:p w14:paraId="4C842F24" w14:textId="276C3BC5" w:rsidR="00FC0C33" w:rsidRDefault="00EF4BE1" w:rsidP="00EF4BE1">
      <w:pPr>
        <w:pStyle w:val="ListParagraph"/>
        <w:numPr>
          <w:ilvl w:val="0"/>
          <w:numId w:val="14"/>
        </w:numPr>
      </w:pPr>
      <w:r>
        <w:t xml:space="preserve">Integration </w:t>
      </w:r>
    </w:p>
    <w:p w14:paraId="5A198CAD" w14:textId="77777777" w:rsidR="00FC0C33" w:rsidRPr="00F62BE6" w:rsidRDefault="00FC0C33" w:rsidP="00FC0C33">
      <w:pPr>
        <w:rPr>
          <w:b/>
        </w:rPr>
      </w:pPr>
      <w:r w:rsidRPr="00F62BE6">
        <w:rPr>
          <w:b/>
        </w:rPr>
        <w:t>The</w:t>
      </w:r>
      <w:r>
        <w:rPr>
          <w:b/>
        </w:rPr>
        <w:t xml:space="preserve"> learning line</w:t>
      </w:r>
      <w:r w:rsidRPr="00F62BE6">
        <w:rPr>
          <w:b/>
        </w:rPr>
        <w:t xml:space="preserve"> </w:t>
      </w:r>
      <w:r>
        <w:rPr>
          <w:b/>
        </w:rPr>
        <w:t>successfully</w:t>
      </w:r>
      <w:r w:rsidRPr="00F62BE6">
        <w:rPr>
          <w:b/>
        </w:rPr>
        <w:t xml:space="preserve"> integrate</w:t>
      </w:r>
      <w:r>
        <w:rPr>
          <w:b/>
        </w:rPr>
        <w:t>s</w:t>
      </w:r>
      <w:r w:rsidRPr="00F62BE6">
        <w:rPr>
          <w:b/>
        </w:rPr>
        <w:t xml:space="preserve"> technical with contextual USE (User Society Enterprise) questions.</w:t>
      </w:r>
    </w:p>
    <w:p w14:paraId="6E57AFE1" w14:textId="7AB34F8D" w:rsidR="00E80672" w:rsidRDefault="00FC0C33" w:rsidP="00C900F5">
      <w:r>
        <w:t>There will be a shared responsibility by technical and social science staff in the management of the course sequence. Content-wise, USE and technical aspects are part of each course within the sequence. (See annex for alignment with USE learning objectives.)</w:t>
      </w:r>
    </w:p>
    <w:p w14:paraId="581BD457" w14:textId="77777777" w:rsidR="00EF4BE1" w:rsidRDefault="00EF4BE1" w:rsidP="00C900F5"/>
    <w:p w14:paraId="34A58482" w14:textId="77777777" w:rsidR="00953365" w:rsidRDefault="00953365" w:rsidP="00C900F5"/>
    <w:p w14:paraId="0DE3114C" w14:textId="472E5912" w:rsidR="00EF4BE1" w:rsidRDefault="00EF4BE1" w:rsidP="00C900F5">
      <w:pPr>
        <w:pStyle w:val="ListParagraph"/>
        <w:numPr>
          <w:ilvl w:val="0"/>
          <w:numId w:val="14"/>
        </w:numPr>
      </w:pPr>
      <w:r>
        <w:t xml:space="preserve">Innovation </w:t>
      </w:r>
    </w:p>
    <w:p w14:paraId="37F4F95F" w14:textId="77777777" w:rsidR="00734C29" w:rsidRDefault="00E80672" w:rsidP="00FD1378">
      <w:pPr>
        <w:rPr>
          <w:b/>
        </w:rPr>
      </w:pPr>
      <w:r w:rsidRPr="00FD1378">
        <w:rPr>
          <w:b/>
        </w:rPr>
        <w:t xml:space="preserve">The learning line integrates </w:t>
      </w:r>
      <w:r w:rsidR="00734C29">
        <w:rPr>
          <w:b/>
        </w:rPr>
        <w:t>innovative learning approaches.</w:t>
      </w:r>
    </w:p>
    <w:p w14:paraId="211BD8E9" w14:textId="0817CDCD" w:rsidR="00DE2A9D" w:rsidRDefault="00B60C3D" w:rsidP="00C900F5">
      <w:r>
        <w:t>Especially context- and place-based learning approaches will practically</w:t>
      </w:r>
      <w:r w:rsidR="00FD1378" w:rsidRPr="00734C29">
        <w:t xml:space="preserve"> </w:t>
      </w:r>
      <w:r>
        <w:t>link</w:t>
      </w:r>
      <w:r w:rsidR="00FD1378" w:rsidRPr="00734C29">
        <w:t xml:space="preserve"> and integrate university education with the global context</w:t>
      </w:r>
      <w:r w:rsidR="00FD1378" w:rsidRPr="00FD1378">
        <w:rPr>
          <w:b/>
        </w:rPr>
        <w:t>.</w:t>
      </w:r>
      <w:r>
        <w:t xml:space="preserve"> </w:t>
      </w:r>
      <w:r w:rsidR="00E80672">
        <w:t xml:space="preserve">Strengthening the link between </w:t>
      </w:r>
      <w:r w:rsidR="00E80672">
        <w:lastRenderedPageBreak/>
        <w:t xml:space="preserve">context- and university education aligns with TU/e’s aim to educate so-called ‘T-shaped’ engineers: the </w:t>
      </w:r>
      <w:r w:rsidR="00FD1378">
        <w:t>learning line</w:t>
      </w:r>
      <w:r w:rsidR="00E80672">
        <w:t xml:space="preserve"> will contribute to students’ ability to communicate and collaborate not only across but also beyond their disciplinary boundaries.</w:t>
      </w:r>
    </w:p>
    <w:p w14:paraId="7F0AA804" w14:textId="77777777" w:rsidR="002F72D4" w:rsidRDefault="002F72D4" w:rsidP="00C900F5"/>
    <w:p w14:paraId="56DCA1F4" w14:textId="7EBEE087" w:rsidR="002F72D4" w:rsidRDefault="002F72D4" w:rsidP="00C900F5">
      <w:r>
        <w:t xml:space="preserve">These three features are interrelated and cross-fertilize each other.  </w:t>
      </w:r>
    </w:p>
    <w:p w14:paraId="693DFB42" w14:textId="77777777" w:rsidR="002F72D4" w:rsidRDefault="002F72D4" w:rsidP="00C900F5"/>
    <w:p w14:paraId="726CE2FC" w14:textId="24BC487A" w:rsidR="00024F5E" w:rsidRDefault="00DE1393" w:rsidP="00DE1393">
      <w:r>
        <w:t xml:space="preserve">For example, the learning line will work closely with </w:t>
      </w:r>
      <w:r w:rsidRPr="003A4D4A">
        <w:rPr>
          <w:b/>
        </w:rPr>
        <w:t>external partners</w:t>
      </w:r>
      <w:r>
        <w:t xml:space="preserve"> from industry, the non-profit and the public sector to let students learn about and experience the </w:t>
      </w:r>
      <w:r>
        <w:rPr>
          <w:b/>
        </w:rPr>
        <w:t>global</w:t>
      </w:r>
      <w:r w:rsidRPr="003A4D4A">
        <w:rPr>
          <w:b/>
        </w:rPr>
        <w:t xml:space="preserve"> practice context</w:t>
      </w:r>
      <w:r>
        <w:t xml:space="preserve">. </w:t>
      </w:r>
      <w:r w:rsidR="00263998">
        <w:t xml:space="preserve">This </w:t>
      </w:r>
      <w:r w:rsidR="00263998" w:rsidRPr="00263998">
        <w:rPr>
          <w:b/>
        </w:rPr>
        <w:t>innovative learning approach</w:t>
      </w:r>
      <w:r w:rsidR="00263998">
        <w:t xml:space="preserve"> help</w:t>
      </w:r>
      <w:r w:rsidR="00A8670E">
        <w:t>s</w:t>
      </w:r>
      <w:r w:rsidR="00263998">
        <w:t xml:space="preserve"> to link the global practice context with university education.</w:t>
      </w:r>
      <w:r w:rsidR="0017033B">
        <w:t xml:space="preserve"> </w:t>
      </w:r>
      <w:r w:rsidR="00A8670E">
        <w:t>For instance, s</w:t>
      </w:r>
      <w:r w:rsidR="00263998">
        <w:t xml:space="preserve">tudents and staff will visit external partners and learn about their questions, challenges and issues </w:t>
      </w:r>
      <w:r w:rsidR="00811ABD">
        <w:t>that</w:t>
      </w:r>
      <w:r w:rsidR="00263998">
        <w:t xml:space="preserve"> practitioners face in their day-to-day work.</w:t>
      </w:r>
      <w:r w:rsidR="0017033B">
        <w:t xml:space="preserve"> </w:t>
      </w:r>
      <w:r w:rsidR="00263998">
        <w:t xml:space="preserve">To enable this, a </w:t>
      </w:r>
      <w:r w:rsidRPr="0015218E">
        <w:rPr>
          <w:b/>
        </w:rPr>
        <w:t>network</w:t>
      </w:r>
      <w:r>
        <w:t xml:space="preserve"> of external partners is being built </w:t>
      </w:r>
      <w:r w:rsidR="004B0CD0">
        <w:t>which</w:t>
      </w:r>
      <w:r>
        <w:t xml:space="preserve"> will feed their expertise, questions and experiences into the content development of the learning line. </w:t>
      </w:r>
    </w:p>
    <w:p w14:paraId="5CB32E34" w14:textId="77777777" w:rsidR="00024F5E" w:rsidRDefault="00024F5E" w:rsidP="00DE1393"/>
    <w:p w14:paraId="39B14548" w14:textId="212F7D01" w:rsidR="00BE5D64" w:rsidRDefault="000D7E65" w:rsidP="00DE1393">
      <w:r>
        <w:t>Pivotal for</w:t>
      </w:r>
      <w:r w:rsidR="008409E9">
        <w:t xml:space="preserve"> cooperation with external partners </w:t>
      </w:r>
      <w:r w:rsidR="0026140F">
        <w:t xml:space="preserve">will be </w:t>
      </w:r>
      <w:r w:rsidR="0026140F" w:rsidRPr="0026140F">
        <w:rPr>
          <w:b/>
        </w:rPr>
        <w:t>global case</w:t>
      </w:r>
      <w:r w:rsidR="008409E9" w:rsidRPr="0026140F">
        <w:rPr>
          <w:b/>
        </w:rPr>
        <w:t xml:space="preserve"> studies</w:t>
      </w:r>
      <w:r w:rsidR="008409E9">
        <w:t xml:space="preserve">. </w:t>
      </w:r>
      <w:r w:rsidR="0017033B">
        <w:t>T</w:t>
      </w:r>
      <w:r w:rsidR="00263998">
        <w:t>o e</w:t>
      </w:r>
      <w:r w:rsidR="0017033B">
        <w:t>nsure their practice-relevance, e</w:t>
      </w:r>
      <w:r w:rsidR="00DE1393">
        <w:t>xternal partners will play a central role in the provision</w:t>
      </w:r>
      <w:r w:rsidR="00263998">
        <w:t>, design</w:t>
      </w:r>
      <w:r w:rsidR="00DE1393">
        <w:t xml:space="preserve"> </w:t>
      </w:r>
      <w:r w:rsidR="00263998">
        <w:t xml:space="preserve">and co-supervision </w:t>
      </w:r>
      <w:r w:rsidR="00DE1393">
        <w:t xml:space="preserve">of cases on which students will have to work throughout the learning line. This is made possible through the </w:t>
      </w:r>
      <w:r w:rsidR="00174CB9">
        <w:t>refined</w:t>
      </w:r>
      <w:r w:rsidR="00DE1393">
        <w:t xml:space="preserve"> set-up of the learning line to enable </w:t>
      </w:r>
      <w:r w:rsidR="00DE1393" w:rsidRPr="00E3539F">
        <w:rPr>
          <w:b/>
        </w:rPr>
        <w:t>case-based</w:t>
      </w:r>
      <w:r w:rsidR="00DE1393">
        <w:t xml:space="preserve"> </w:t>
      </w:r>
      <w:r w:rsidR="00DE1393" w:rsidRPr="00DB5E7B">
        <w:rPr>
          <w:b/>
        </w:rPr>
        <w:t>sequential design</w:t>
      </w:r>
      <w:r w:rsidR="00DE1393">
        <w:t xml:space="preserve">. From early on students will work on a case-assignment that will be (re-)designed, based on input received </w:t>
      </w:r>
      <w:r w:rsidR="004D2ECB">
        <w:t xml:space="preserve">and the emphasis set </w:t>
      </w:r>
      <w:r w:rsidR="00DE1393">
        <w:t xml:space="preserve">throughout the three quartile- course-sequence. </w:t>
      </w:r>
      <w:r w:rsidR="004D2ECB">
        <w:t>For example, throughout the first course the emphasis lies on USE aspects in the design of their specific case; in the second course, technical questions will be foregrounded. In the third and last course students will integrate all findings into the final design of their application/idea.</w:t>
      </w:r>
      <w:r w:rsidR="006B38AE">
        <w:t xml:space="preserve"> </w:t>
      </w:r>
    </w:p>
    <w:p w14:paraId="1BAE313A" w14:textId="77777777" w:rsidR="00BE5D64" w:rsidRDefault="00BE5D64" w:rsidP="00DE1393"/>
    <w:p w14:paraId="070688B8" w14:textId="6051CE1D" w:rsidR="0094438C" w:rsidRDefault="00BE5D64" w:rsidP="00C900F5">
      <w:r>
        <w:t xml:space="preserve">Staff from </w:t>
      </w:r>
      <w:r w:rsidRPr="00E54931">
        <w:rPr>
          <w:b/>
        </w:rPr>
        <w:t>technical and social science faculties</w:t>
      </w:r>
      <w:r>
        <w:t xml:space="preserve"> will share their responsibilities in the management of the learning line, ensuring that both technical and USE aspects are part of every course sequence. </w:t>
      </w:r>
      <w:r w:rsidR="00E54931">
        <w:t>Content-wise, t</w:t>
      </w:r>
      <w:r w:rsidR="001B0E8C">
        <w:t xml:space="preserve">he learning line’s orientation on </w:t>
      </w:r>
      <w:r w:rsidR="001B0E8C" w:rsidRPr="004D2ECB">
        <w:rPr>
          <w:b/>
        </w:rPr>
        <w:t>globalization</w:t>
      </w:r>
      <w:r w:rsidR="001B0E8C">
        <w:t xml:space="preserve"> </w:t>
      </w:r>
      <w:r w:rsidR="00E54931">
        <w:t>offers an</w:t>
      </w:r>
      <w:r w:rsidR="001B0E8C">
        <w:t xml:space="preserve"> ideal</w:t>
      </w:r>
      <w:r w:rsidR="00E54931">
        <w:t xml:space="preserve"> </w:t>
      </w:r>
      <w:r w:rsidR="00A862B8">
        <w:t>arena</w:t>
      </w:r>
      <w:r w:rsidR="001B0E8C">
        <w:t xml:space="preserve"> to show the intricate relations between </w:t>
      </w:r>
      <w:r w:rsidR="001B0E8C" w:rsidRPr="004D2ECB">
        <w:rPr>
          <w:b/>
        </w:rPr>
        <w:t>technical and USE aspects</w:t>
      </w:r>
      <w:r w:rsidR="001B0E8C">
        <w:t xml:space="preserve"> when designing technologies. It is especially in the global context that </w:t>
      </w:r>
      <w:r w:rsidR="004D2ECB">
        <w:t xml:space="preserve">the importance to understand and consider their inseparability becomes clear. </w:t>
      </w:r>
    </w:p>
    <w:p w14:paraId="75A5B809" w14:textId="77777777" w:rsidR="0094438C" w:rsidRDefault="0094438C" w:rsidP="00C900F5"/>
    <w:p w14:paraId="7B5AAAA7" w14:textId="37FCBB2E" w:rsidR="00AC710E" w:rsidRDefault="0094438C" w:rsidP="00C900F5">
      <w:r>
        <w:br w:type="page"/>
      </w:r>
    </w:p>
    <w:p w14:paraId="492A2A3B" w14:textId="0E38D584" w:rsidR="00DB5E7B" w:rsidRDefault="002C1F71" w:rsidP="0094438C">
      <w:pPr>
        <w:pStyle w:val="Heading1"/>
        <w:numPr>
          <w:ilvl w:val="0"/>
          <w:numId w:val="13"/>
        </w:numPr>
        <w:ind w:left="426" w:hanging="426"/>
      </w:pPr>
      <w:r>
        <w:lastRenderedPageBreak/>
        <w:t xml:space="preserve">Planning </w:t>
      </w:r>
    </w:p>
    <w:p w14:paraId="4E972F28" w14:textId="77777777" w:rsidR="002C1F71" w:rsidRDefault="002C1F71" w:rsidP="00C900F5"/>
    <w:p w14:paraId="6E45EA6B" w14:textId="5240B422" w:rsidR="00E930F1" w:rsidRDefault="00A36965" w:rsidP="00C900F5">
      <w:r>
        <w:t>T</w:t>
      </w:r>
      <w:r w:rsidR="00E72CAC">
        <w:t xml:space="preserve">he ambitious characteristics of the learning line ask </w:t>
      </w:r>
      <w:r w:rsidR="001C66F1">
        <w:t xml:space="preserve">for </w:t>
      </w:r>
      <w:r w:rsidR="00E72CAC">
        <w:t>a deliberate and well-calibrated approach to implementation.</w:t>
      </w:r>
      <w:r w:rsidR="00E930F1">
        <w:t xml:space="preserve"> </w:t>
      </w:r>
      <w:r w:rsidR="0094672A">
        <w:t xml:space="preserve">Consequently, this requires careful planning </w:t>
      </w:r>
      <w:r w:rsidR="003C5189">
        <w:t>considering</w:t>
      </w:r>
      <w:r w:rsidR="0094672A">
        <w:t xml:space="preserve"> the formation of the internal and external cooperation, the resulting specific design of the learning line and the overall timeframe. </w:t>
      </w:r>
      <w:r w:rsidR="004B0FE9">
        <w:t>After briefly introducing the core team members of the learning line, this section will sketch the</w:t>
      </w:r>
      <w:r w:rsidR="00927C19">
        <w:t xml:space="preserve"> design process and indicate its related time frame through definition of </w:t>
      </w:r>
      <w:r w:rsidR="004B0FE9">
        <w:t xml:space="preserve">milestones. </w:t>
      </w:r>
    </w:p>
    <w:p w14:paraId="6E4679C1" w14:textId="20B9CFEF" w:rsidR="00747843" w:rsidRDefault="00747843" w:rsidP="00747843">
      <w:pPr>
        <w:pStyle w:val="Heading5"/>
      </w:pPr>
      <w:r>
        <w:t>Team members</w:t>
      </w:r>
    </w:p>
    <w:p w14:paraId="5DB0DEE4" w14:textId="2661FABE" w:rsidR="00F8281F" w:rsidRDefault="00F8281F" w:rsidP="00F8281F">
      <w:r>
        <w:t xml:space="preserve">Johanna Höffken, IE&amp;IS will take the lead in the overall </w:t>
      </w:r>
      <w:r w:rsidR="00A1534D">
        <w:t xml:space="preserve">coordination and </w:t>
      </w:r>
      <w:r>
        <w:t xml:space="preserve">development of the learning line.  The learning line team consists of staff of </w:t>
      </w:r>
      <w:r w:rsidRPr="00DB5E7B">
        <w:rPr>
          <w:b/>
        </w:rPr>
        <w:t>three faculties</w:t>
      </w:r>
      <w:r>
        <w:t>, two technical and one social science faculty:</w:t>
      </w:r>
    </w:p>
    <w:p w14:paraId="6563B096" w14:textId="77777777" w:rsidR="00F8281F" w:rsidRDefault="00F8281F" w:rsidP="00F8281F">
      <w:r>
        <w:t xml:space="preserve">Built Environment, Prof. </w:t>
      </w:r>
      <w:proofErr w:type="spellStart"/>
      <w:r>
        <w:t>Masi</w:t>
      </w:r>
      <w:proofErr w:type="spellEnd"/>
      <w:r>
        <w:t xml:space="preserve"> Mohammadi, </w:t>
      </w:r>
    </w:p>
    <w:p w14:paraId="3C7A4994" w14:textId="77777777" w:rsidR="00F8281F" w:rsidRDefault="00F8281F" w:rsidP="00F8281F">
      <w:r>
        <w:t xml:space="preserve">Electrical Engineering Dr. Madeleine Gibescu, </w:t>
      </w:r>
    </w:p>
    <w:p w14:paraId="3A657980" w14:textId="77777777" w:rsidR="00F8281F" w:rsidRDefault="00F8281F" w:rsidP="00F8281F">
      <w:r>
        <w:t xml:space="preserve">Industrial Engineering &amp; Innovation Sciences, Dr. Annelies </w:t>
      </w:r>
      <w:proofErr w:type="spellStart"/>
      <w:r>
        <w:t>Bobbelyn</w:t>
      </w:r>
      <w:proofErr w:type="spellEnd"/>
      <w:r>
        <w:t>, from the School of IE, and Dr. Johanna Höffken, from the School of IS.</w:t>
      </w:r>
    </w:p>
    <w:p w14:paraId="61F2E8F5" w14:textId="77777777" w:rsidR="00F8281F" w:rsidRDefault="00F8281F" w:rsidP="00F8281F"/>
    <w:p w14:paraId="05901D03" w14:textId="571550C6" w:rsidR="0007379B" w:rsidRDefault="00F8281F" w:rsidP="00C900F5">
      <w:r>
        <w:t>Interested staff members from Mechanical Engineering, Biomedical Engineering and Mathematics and Computer Sciences are being identified. The current learning line team consists of members of three faculties but can be enlarged to include a maximum of 4-5 interested faculties.</w:t>
      </w:r>
    </w:p>
    <w:p w14:paraId="136AD02E" w14:textId="24B6A508" w:rsidR="00747843" w:rsidRDefault="00747843" w:rsidP="00747843">
      <w:pPr>
        <w:pStyle w:val="Heading5"/>
      </w:pPr>
      <w:r>
        <w:t>Design process</w:t>
      </w:r>
    </w:p>
    <w:p w14:paraId="385A1870" w14:textId="112B9462" w:rsidR="00E930F1" w:rsidRDefault="00E930F1" w:rsidP="00C900F5">
      <w:r>
        <w:t>The design-process of the learning line will be informed and fed by input from two domains that need to be considered simultaneously: The design-process is influenced on one hand by input received from within the TU/e and on the other by input received from the external context/partners.</w:t>
      </w:r>
    </w:p>
    <w:p w14:paraId="19127AF3" w14:textId="77777777" w:rsidR="00E930F1" w:rsidRDefault="00E930F1" w:rsidP="00C900F5"/>
    <w:p w14:paraId="68EB16AF" w14:textId="59DC8C87" w:rsidR="00E07B17" w:rsidRDefault="00827200" w:rsidP="00C900F5">
      <w:r>
        <w:t xml:space="preserve">Internally, expertise and interests of the learning line core members </w:t>
      </w:r>
      <w:r w:rsidR="00A554D4">
        <w:t>will</w:t>
      </w:r>
      <w:r>
        <w:t xml:space="preserve"> be </w:t>
      </w:r>
      <w:r w:rsidR="00A554D4">
        <w:t>concretized</w:t>
      </w:r>
      <w:r>
        <w:t xml:space="preserve"> and applied onto the learning line design.</w:t>
      </w:r>
      <w:r w:rsidR="00DA1A4C">
        <w:t xml:space="preserve"> </w:t>
      </w:r>
      <w:r w:rsidR="00E07B17">
        <w:t>Input from students from different faculties will be sought to inform the design of the learning line.</w:t>
      </w:r>
    </w:p>
    <w:p w14:paraId="0B755D3A" w14:textId="67C8AD38" w:rsidR="0007379B" w:rsidRDefault="00827200" w:rsidP="00C900F5">
      <w:r>
        <w:t xml:space="preserve">Externally, partners </w:t>
      </w:r>
      <w:r w:rsidR="00A554D4">
        <w:t>are being</w:t>
      </w:r>
      <w:r>
        <w:t xml:space="preserve"> identified and their commitment in and for the learning line </w:t>
      </w:r>
      <w:r w:rsidR="0007379B">
        <w:t>will be</w:t>
      </w:r>
      <w:r>
        <w:t xml:space="preserve"> defined. Both influences the final design of the learning line.</w:t>
      </w:r>
    </w:p>
    <w:p w14:paraId="3DB8F83B" w14:textId="08EBD70D" w:rsidR="00747843" w:rsidRDefault="000F062B" w:rsidP="000F062B">
      <w:pPr>
        <w:pStyle w:val="Heading5"/>
      </w:pPr>
      <w:r>
        <w:t>Time frame</w:t>
      </w:r>
      <w:r w:rsidR="00F627B8">
        <w:t xml:space="preserve"> &amp; Milestones</w:t>
      </w:r>
    </w:p>
    <w:p w14:paraId="799BDFEC" w14:textId="7167BDF5" w:rsidR="007B19C9" w:rsidRDefault="009A4660" w:rsidP="00C900F5">
      <w:r>
        <w:t>A two-year time frame enables a realistic planning of the efforts and activities needed to successfully realize this learning line.</w:t>
      </w:r>
      <w:r w:rsidR="005E7803">
        <w:t xml:space="preserve"> </w:t>
      </w:r>
      <w:r w:rsidR="007B19C9">
        <w:t xml:space="preserve">During this </w:t>
      </w:r>
      <w:r w:rsidR="004404B9">
        <w:t>time frame</w:t>
      </w:r>
      <w:r w:rsidR="007B19C9">
        <w:t xml:space="preserve"> efforts alternate between internally and externally focused activities in order to integrate both dimensions and inputs into one coherent design.</w:t>
      </w:r>
      <w:r w:rsidR="005E7803">
        <w:t xml:space="preserve"> </w:t>
      </w:r>
      <w:r w:rsidR="00F77D4A">
        <w:t>This will result in the implementation of</w:t>
      </w:r>
      <w:r>
        <w:t xml:space="preserve"> the learning line in Q1</w:t>
      </w:r>
      <w:r w:rsidR="00126F5F">
        <w:t>, Q2 and Q3</w:t>
      </w:r>
      <w:r>
        <w:t xml:space="preserve"> of the academic year 2018/2019.</w:t>
      </w:r>
    </w:p>
    <w:p w14:paraId="7946AE7F" w14:textId="77777777" w:rsidR="00F80FD1" w:rsidRDefault="00F80FD1"/>
    <w:p w14:paraId="64BC94C2" w14:textId="02875A39" w:rsidR="009A4660" w:rsidRDefault="00F80FD1" w:rsidP="00C900F5">
      <w:r>
        <w:t xml:space="preserve">The table below details the milestones for the design of the learning line. </w:t>
      </w:r>
      <w:r w:rsidR="0040118F">
        <w:br w:type="page"/>
      </w:r>
    </w:p>
    <w:tbl>
      <w:tblPr>
        <w:tblStyle w:val="TableGrid"/>
        <w:tblW w:w="0" w:type="auto"/>
        <w:tblInd w:w="1384" w:type="dxa"/>
        <w:tblLayout w:type="fixed"/>
        <w:tblLook w:val="04A0" w:firstRow="1" w:lastRow="0" w:firstColumn="1" w:lastColumn="0" w:noHBand="0" w:noVBand="1"/>
      </w:tblPr>
      <w:tblGrid>
        <w:gridCol w:w="1418"/>
        <w:gridCol w:w="3876"/>
      </w:tblGrid>
      <w:tr w:rsidR="00255F4B" w14:paraId="458FA1CF" w14:textId="77777777" w:rsidTr="00FB0616">
        <w:tc>
          <w:tcPr>
            <w:tcW w:w="1418" w:type="dxa"/>
          </w:tcPr>
          <w:p w14:paraId="32BE58CE" w14:textId="439D63A2" w:rsidR="00255F4B" w:rsidRPr="00F627B8" w:rsidRDefault="00255F4B" w:rsidP="00C900F5">
            <w:pPr>
              <w:rPr>
                <w:b/>
              </w:rPr>
            </w:pPr>
            <w:r w:rsidRPr="00F627B8">
              <w:rPr>
                <w:b/>
              </w:rPr>
              <w:lastRenderedPageBreak/>
              <w:t>Time</w:t>
            </w:r>
            <w:r>
              <w:rPr>
                <w:b/>
              </w:rPr>
              <w:t>-stage</w:t>
            </w:r>
          </w:p>
        </w:tc>
        <w:tc>
          <w:tcPr>
            <w:tcW w:w="3876" w:type="dxa"/>
          </w:tcPr>
          <w:p w14:paraId="4B61A702" w14:textId="2180AD85" w:rsidR="00255F4B" w:rsidRPr="00F627B8" w:rsidRDefault="00255F4B" w:rsidP="00C900F5">
            <w:pPr>
              <w:rPr>
                <w:b/>
              </w:rPr>
            </w:pPr>
            <w:r w:rsidRPr="00F627B8">
              <w:rPr>
                <w:b/>
              </w:rPr>
              <w:t>Milestones 2017</w:t>
            </w:r>
          </w:p>
        </w:tc>
      </w:tr>
      <w:tr w:rsidR="00255F4B" w14:paraId="08560538" w14:textId="77777777" w:rsidTr="00FB0616">
        <w:tc>
          <w:tcPr>
            <w:tcW w:w="1418" w:type="dxa"/>
          </w:tcPr>
          <w:p w14:paraId="323F6CD3" w14:textId="43D491EA" w:rsidR="00255F4B" w:rsidRDefault="00255F4B" w:rsidP="00C900F5">
            <w:r>
              <w:t xml:space="preserve">Early </w:t>
            </w:r>
          </w:p>
        </w:tc>
        <w:tc>
          <w:tcPr>
            <w:tcW w:w="3876" w:type="dxa"/>
          </w:tcPr>
          <w:p w14:paraId="27A2191E" w14:textId="77777777" w:rsidR="00255F4B" w:rsidRDefault="00255F4B" w:rsidP="00F627B8">
            <w:pPr>
              <w:pStyle w:val="ListParagraph"/>
              <w:numPr>
                <w:ilvl w:val="0"/>
                <w:numId w:val="2"/>
              </w:numPr>
              <w:ind w:left="426"/>
            </w:pPr>
            <w:r>
              <w:t>Identification of final core members from TU/e</w:t>
            </w:r>
          </w:p>
          <w:p w14:paraId="767F0F33" w14:textId="77777777" w:rsidR="00255F4B" w:rsidRDefault="00255F4B" w:rsidP="00C900F5"/>
          <w:p w14:paraId="463EA056" w14:textId="2F0E2D4B" w:rsidR="00255F4B" w:rsidRDefault="00255F4B" w:rsidP="00A81EFD">
            <w:pPr>
              <w:pStyle w:val="ListParagraph"/>
              <w:numPr>
                <w:ilvl w:val="0"/>
                <w:numId w:val="2"/>
              </w:numPr>
              <w:ind w:left="426"/>
            </w:pPr>
            <w:r>
              <w:t>Sketching structure, task definition and time lines</w:t>
            </w:r>
          </w:p>
        </w:tc>
      </w:tr>
      <w:tr w:rsidR="00255F4B" w14:paraId="53411F00" w14:textId="77777777" w:rsidTr="00FB0616">
        <w:tc>
          <w:tcPr>
            <w:tcW w:w="1418" w:type="dxa"/>
          </w:tcPr>
          <w:p w14:paraId="6712EB84" w14:textId="79B893D4" w:rsidR="00255F4B" w:rsidRDefault="00255F4B" w:rsidP="00C900F5">
            <w:r>
              <w:t>Middle</w:t>
            </w:r>
          </w:p>
        </w:tc>
        <w:tc>
          <w:tcPr>
            <w:tcW w:w="3876" w:type="dxa"/>
          </w:tcPr>
          <w:p w14:paraId="4F76299E" w14:textId="49F33BB7" w:rsidR="00255F4B" w:rsidRDefault="00255F4B" w:rsidP="00F627B8">
            <w:pPr>
              <w:pStyle w:val="ListParagraph"/>
              <w:numPr>
                <w:ilvl w:val="0"/>
                <w:numId w:val="2"/>
              </w:numPr>
              <w:ind w:left="426"/>
            </w:pPr>
            <w:r>
              <w:t>Definition of commitment of teaching engagement of team members</w:t>
            </w:r>
          </w:p>
          <w:p w14:paraId="407797BD" w14:textId="77777777" w:rsidR="00255F4B" w:rsidRDefault="00255F4B" w:rsidP="002744E6">
            <w:pPr>
              <w:ind w:left="66"/>
            </w:pPr>
          </w:p>
          <w:p w14:paraId="545EB3F2" w14:textId="77777777" w:rsidR="00255F4B" w:rsidRDefault="00255F4B" w:rsidP="00131368">
            <w:pPr>
              <w:pStyle w:val="ListParagraph"/>
              <w:numPr>
                <w:ilvl w:val="0"/>
                <w:numId w:val="2"/>
              </w:numPr>
              <w:ind w:left="426"/>
            </w:pPr>
            <w:r>
              <w:t>Interests of students in learning line content and topics are mapped</w:t>
            </w:r>
          </w:p>
          <w:p w14:paraId="76922CF6" w14:textId="77777777" w:rsidR="00255F4B" w:rsidRDefault="00255F4B" w:rsidP="00131368">
            <w:pPr>
              <w:pStyle w:val="ListParagraph"/>
              <w:ind w:left="426"/>
            </w:pPr>
          </w:p>
          <w:p w14:paraId="7A8806B4" w14:textId="105624D5" w:rsidR="00255F4B" w:rsidRDefault="00255F4B" w:rsidP="002744E6">
            <w:pPr>
              <w:pStyle w:val="ListParagraph"/>
              <w:numPr>
                <w:ilvl w:val="0"/>
                <w:numId w:val="2"/>
              </w:numPr>
              <w:ind w:left="426"/>
            </w:pPr>
            <w:r>
              <w:t xml:space="preserve">Further defining learning line design </w:t>
            </w:r>
          </w:p>
          <w:p w14:paraId="5BE20D4E" w14:textId="77777777" w:rsidR="00255F4B" w:rsidRDefault="00255F4B" w:rsidP="00131368"/>
        </w:tc>
      </w:tr>
      <w:tr w:rsidR="00255F4B" w14:paraId="3D8A65F1" w14:textId="77777777" w:rsidTr="00FB0616">
        <w:tc>
          <w:tcPr>
            <w:tcW w:w="1418" w:type="dxa"/>
          </w:tcPr>
          <w:p w14:paraId="044F296E" w14:textId="390C3536" w:rsidR="00255F4B" w:rsidRDefault="00255F4B" w:rsidP="00C900F5">
            <w:r>
              <w:t>End</w:t>
            </w:r>
          </w:p>
        </w:tc>
        <w:tc>
          <w:tcPr>
            <w:tcW w:w="3876" w:type="dxa"/>
          </w:tcPr>
          <w:p w14:paraId="15F0280F" w14:textId="15B61405" w:rsidR="00255F4B" w:rsidRDefault="00255F4B" w:rsidP="00AF2A4B">
            <w:pPr>
              <w:pStyle w:val="ListParagraph"/>
              <w:numPr>
                <w:ilvl w:val="0"/>
                <w:numId w:val="2"/>
              </w:numPr>
              <w:ind w:left="426"/>
            </w:pPr>
            <w:r>
              <w:t>First design of learning line, considering management, possible external partners, structure, content, and methods</w:t>
            </w:r>
          </w:p>
          <w:p w14:paraId="6BF5200C" w14:textId="77777777" w:rsidR="00255F4B" w:rsidRDefault="00255F4B" w:rsidP="00C900F5"/>
        </w:tc>
      </w:tr>
      <w:tr w:rsidR="00FB0616" w14:paraId="41BE41FF" w14:textId="77777777" w:rsidTr="00FB0616">
        <w:tc>
          <w:tcPr>
            <w:tcW w:w="5294" w:type="dxa"/>
            <w:gridSpan w:val="2"/>
          </w:tcPr>
          <w:p w14:paraId="1C73FF4A" w14:textId="77777777" w:rsidR="00FB0616" w:rsidRDefault="00FB0616" w:rsidP="00FB0616">
            <w:pPr>
              <w:rPr>
                <w:b/>
              </w:rPr>
            </w:pPr>
            <w:r w:rsidRPr="00255F4B">
              <w:rPr>
                <w:b/>
              </w:rPr>
              <w:t>Milestones 2018</w:t>
            </w:r>
          </w:p>
          <w:p w14:paraId="164BDE39" w14:textId="77777777" w:rsidR="00FB0616" w:rsidRPr="00255F4B" w:rsidRDefault="00FB0616" w:rsidP="00FB0616">
            <w:pPr>
              <w:ind w:left="66"/>
              <w:rPr>
                <w:highlight w:val="yellow"/>
              </w:rPr>
            </w:pPr>
          </w:p>
        </w:tc>
      </w:tr>
      <w:tr w:rsidR="00255F4B" w14:paraId="5E070095" w14:textId="77777777" w:rsidTr="00FB0616">
        <w:tc>
          <w:tcPr>
            <w:tcW w:w="1418" w:type="dxa"/>
          </w:tcPr>
          <w:p w14:paraId="259703FF" w14:textId="07D6FAD2" w:rsidR="00255F4B" w:rsidRDefault="00FB0616" w:rsidP="00C900F5">
            <w:r>
              <w:t>Early</w:t>
            </w:r>
          </w:p>
        </w:tc>
        <w:tc>
          <w:tcPr>
            <w:tcW w:w="3876" w:type="dxa"/>
          </w:tcPr>
          <w:p w14:paraId="6C65C701" w14:textId="77777777" w:rsidR="00FB0616" w:rsidRDefault="00FB0616" w:rsidP="00FB0616">
            <w:pPr>
              <w:pStyle w:val="ListParagraph"/>
              <w:numPr>
                <w:ilvl w:val="0"/>
                <w:numId w:val="2"/>
              </w:numPr>
              <w:ind w:left="426"/>
            </w:pPr>
            <w:r>
              <w:t xml:space="preserve">Identification of final external partners </w:t>
            </w:r>
          </w:p>
          <w:p w14:paraId="1790613C" w14:textId="77777777" w:rsidR="00FB0616" w:rsidRDefault="00FB0616" w:rsidP="00FB0616">
            <w:pPr>
              <w:ind w:left="66"/>
            </w:pPr>
          </w:p>
          <w:p w14:paraId="18EEF59E" w14:textId="77777777" w:rsidR="00FB0616" w:rsidRDefault="00FB0616" w:rsidP="00FB0616">
            <w:pPr>
              <w:pStyle w:val="ListParagraph"/>
              <w:numPr>
                <w:ilvl w:val="0"/>
                <w:numId w:val="2"/>
              </w:numPr>
              <w:ind w:left="426"/>
            </w:pPr>
            <w:r>
              <w:t>Definition of commitment of external partners’ engagement</w:t>
            </w:r>
          </w:p>
          <w:p w14:paraId="2D81241B" w14:textId="4C2A3C32" w:rsidR="00255F4B" w:rsidRDefault="00255F4B" w:rsidP="00FB0616"/>
        </w:tc>
      </w:tr>
      <w:tr w:rsidR="00255F4B" w14:paraId="3FBA19DA" w14:textId="77777777" w:rsidTr="00FB0616">
        <w:tc>
          <w:tcPr>
            <w:tcW w:w="1418" w:type="dxa"/>
          </w:tcPr>
          <w:p w14:paraId="253F3C36" w14:textId="008C3AB1" w:rsidR="00255F4B" w:rsidRDefault="00FB0616" w:rsidP="00C900F5">
            <w:r>
              <w:t>Middle</w:t>
            </w:r>
          </w:p>
        </w:tc>
        <w:tc>
          <w:tcPr>
            <w:tcW w:w="3876" w:type="dxa"/>
          </w:tcPr>
          <w:p w14:paraId="5F7F6594" w14:textId="77777777" w:rsidR="00FB0616" w:rsidRDefault="00FB0616" w:rsidP="00FB0616">
            <w:pPr>
              <w:pStyle w:val="ListParagraph"/>
              <w:numPr>
                <w:ilvl w:val="0"/>
                <w:numId w:val="2"/>
              </w:numPr>
              <w:ind w:left="426"/>
            </w:pPr>
            <w:r>
              <w:t>Final design of the learning line considering all design dimensions (e.g. internal and external partners, content, structure, methods)</w:t>
            </w:r>
          </w:p>
          <w:p w14:paraId="05F5AAE1" w14:textId="77777777" w:rsidR="00255F4B" w:rsidRDefault="00255F4B" w:rsidP="00681002">
            <w:pPr>
              <w:pStyle w:val="ListParagraph"/>
              <w:ind w:left="426"/>
            </w:pPr>
          </w:p>
        </w:tc>
      </w:tr>
      <w:tr w:rsidR="00255F4B" w14:paraId="0B7238FB" w14:textId="77777777" w:rsidTr="00FB0616">
        <w:tc>
          <w:tcPr>
            <w:tcW w:w="1418" w:type="dxa"/>
          </w:tcPr>
          <w:p w14:paraId="5870725D" w14:textId="2A2E47B2" w:rsidR="00255F4B" w:rsidRDefault="00681002" w:rsidP="00C900F5">
            <w:r>
              <w:t>End</w:t>
            </w:r>
          </w:p>
        </w:tc>
        <w:tc>
          <w:tcPr>
            <w:tcW w:w="3876" w:type="dxa"/>
          </w:tcPr>
          <w:p w14:paraId="6CE04E12" w14:textId="484CC7C7" w:rsidR="00255F4B" w:rsidRDefault="00681002" w:rsidP="00FB0616">
            <w:pPr>
              <w:pStyle w:val="ListParagraph"/>
              <w:numPr>
                <w:ilvl w:val="0"/>
                <w:numId w:val="2"/>
              </w:numPr>
              <w:ind w:left="426"/>
            </w:pPr>
            <w:r>
              <w:t>Implementation of learning line in Q1, Q2 and Q3.</w:t>
            </w:r>
          </w:p>
        </w:tc>
      </w:tr>
      <w:tr w:rsidR="00255F4B" w14:paraId="1ECC096E" w14:textId="77777777" w:rsidTr="00FB0616">
        <w:tc>
          <w:tcPr>
            <w:tcW w:w="1418" w:type="dxa"/>
          </w:tcPr>
          <w:p w14:paraId="2970F5C8" w14:textId="77777777" w:rsidR="00FB0616" w:rsidRPr="00681002" w:rsidRDefault="00FB0616" w:rsidP="00FB0616">
            <w:r w:rsidRPr="00681002">
              <w:t>Through-</w:t>
            </w:r>
          </w:p>
          <w:p w14:paraId="077FD921" w14:textId="3CB94239" w:rsidR="00255F4B" w:rsidRPr="00681002" w:rsidRDefault="00FB0616" w:rsidP="00681002">
            <w:r w:rsidRPr="00681002">
              <w:t xml:space="preserve">out </w:t>
            </w:r>
          </w:p>
        </w:tc>
        <w:tc>
          <w:tcPr>
            <w:tcW w:w="3876" w:type="dxa"/>
          </w:tcPr>
          <w:p w14:paraId="1BA74F8E" w14:textId="6791328A" w:rsidR="00FB0616" w:rsidRPr="00681002" w:rsidRDefault="00FB0616" w:rsidP="00FB0616">
            <w:pPr>
              <w:pStyle w:val="ListParagraph"/>
              <w:numPr>
                <w:ilvl w:val="0"/>
                <w:numId w:val="2"/>
              </w:numPr>
              <w:ind w:left="426"/>
            </w:pPr>
            <w:r w:rsidRPr="00681002">
              <w:t>Iterative process of learning line design</w:t>
            </w:r>
          </w:p>
          <w:p w14:paraId="7CA3C330" w14:textId="77777777" w:rsidR="00FB0616" w:rsidRPr="00681002" w:rsidRDefault="00FB0616" w:rsidP="00FB0616"/>
          <w:p w14:paraId="31840904" w14:textId="77777777" w:rsidR="00FB0616" w:rsidRPr="00681002" w:rsidRDefault="00FB0616" w:rsidP="00FB0616">
            <w:pPr>
              <w:pStyle w:val="ListParagraph"/>
              <w:numPr>
                <w:ilvl w:val="0"/>
                <w:numId w:val="2"/>
              </w:numPr>
              <w:ind w:left="426"/>
            </w:pPr>
            <w:r w:rsidRPr="00681002">
              <w:t>Building of external network</w:t>
            </w:r>
          </w:p>
          <w:p w14:paraId="286BF91D" w14:textId="77777777" w:rsidR="00B01F01" w:rsidRDefault="00B01F01" w:rsidP="00FB0616">
            <w:pPr>
              <w:ind w:left="66"/>
              <w:rPr>
                <w:i/>
              </w:rPr>
            </w:pPr>
            <w:r>
              <w:rPr>
                <w:i/>
              </w:rPr>
              <w:t xml:space="preserve">      (Philips, </w:t>
            </w:r>
            <w:proofErr w:type="spellStart"/>
            <w:r>
              <w:rPr>
                <w:i/>
              </w:rPr>
              <w:t>Essent</w:t>
            </w:r>
            <w:proofErr w:type="spellEnd"/>
            <w:r>
              <w:rPr>
                <w:i/>
              </w:rPr>
              <w:t xml:space="preserve">, TomTom, </w:t>
            </w:r>
          </w:p>
          <w:p w14:paraId="31C7A8BE" w14:textId="77777777" w:rsidR="00B01F01" w:rsidRDefault="00B01F01" w:rsidP="00FB0616">
            <w:pPr>
              <w:ind w:left="66"/>
              <w:rPr>
                <w:i/>
              </w:rPr>
            </w:pPr>
            <w:r>
              <w:rPr>
                <w:i/>
              </w:rPr>
              <w:t xml:space="preserve">      </w:t>
            </w:r>
            <w:r w:rsidR="00FB0616" w:rsidRPr="00681002">
              <w:rPr>
                <w:i/>
              </w:rPr>
              <w:t>diverse NGOs have already</w:t>
            </w:r>
          </w:p>
          <w:p w14:paraId="315AAC9B" w14:textId="70EDF908" w:rsidR="00FB0616" w:rsidRPr="00681002" w:rsidRDefault="00B01F01" w:rsidP="00FB0616">
            <w:pPr>
              <w:ind w:left="66"/>
              <w:rPr>
                <w:i/>
              </w:rPr>
            </w:pPr>
            <w:r>
              <w:rPr>
                <w:i/>
              </w:rPr>
              <w:t xml:space="preserve">     </w:t>
            </w:r>
            <w:r w:rsidR="00FB0616" w:rsidRPr="00681002">
              <w:rPr>
                <w:i/>
              </w:rPr>
              <w:t xml:space="preserve"> indicated interest)</w:t>
            </w:r>
          </w:p>
          <w:p w14:paraId="4EB98D92" w14:textId="23104995" w:rsidR="00255F4B" w:rsidRPr="00681002" w:rsidRDefault="00255F4B" w:rsidP="00681002">
            <w:pPr>
              <w:pStyle w:val="ListParagraph"/>
              <w:ind w:left="426"/>
            </w:pPr>
          </w:p>
        </w:tc>
      </w:tr>
    </w:tbl>
    <w:p w14:paraId="0019578D" w14:textId="69E882EF" w:rsidR="002304A9" w:rsidRDefault="00E14776">
      <w:r>
        <w:br w:type="page"/>
      </w:r>
    </w:p>
    <w:tbl>
      <w:tblPr>
        <w:tblStyle w:val="TableGrid"/>
        <w:tblpPr w:leftFromText="180" w:rightFromText="180" w:vertAnchor="page" w:horzAnchor="page" w:tblpX="1820" w:tblpY="2395"/>
        <w:tblW w:w="0" w:type="auto"/>
        <w:tblLook w:val="04A0" w:firstRow="1" w:lastRow="0" w:firstColumn="1" w:lastColumn="0" w:noHBand="0" w:noVBand="1"/>
      </w:tblPr>
      <w:tblGrid>
        <w:gridCol w:w="4258"/>
        <w:gridCol w:w="4258"/>
      </w:tblGrid>
      <w:tr w:rsidR="002304A9" w14:paraId="16E27A29" w14:textId="77777777" w:rsidTr="005C4C07">
        <w:tc>
          <w:tcPr>
            <w:tcW w:w="4258" w:type="dxa"/>
          </w:tcPr>
          <w:p w14:paraId="46BFBBFB" w14:textId="77777777" w:rsidR="002304A9" w:rsidRPr="00F2548F" w:rsidRDefault="002304A9" w:rsidP="005C4C07">
            <w:pPr>
              <w:rPr>
                <w:b/>
              </w:rPr>
            </w:pPr>
            <w:r w:rsidRPr="00F2548F">
              <w:rPr>
                <w:b/>
              </w:rPr>
              <w:lastRenderedPageBreak/>
              <w:t>USE learning objectives</w:t>
            </w:r>
          </w:p>
        </w:tc>
        <w:tc>
          <w:tcPr>
            <w:tcW w:w="4258" w:type="dxa"/>
          </w:tcPr>
          <w:p w14:paraId="449B5A42" w14:textId="77777777" w:rsidR="002304A9" w:rsidRPr="00F2548F" w:rsidRDefault="002304A9" w:rsidP="005C4C07">
            <w:pPr>
              <w:rPr>
                <w:b/>
              </w:rPr>
            </w:pPr>
            <w:r w:rsidRPr="00F2548F">
              <w:rPr>
                <w:b/>
              </w:rPr>
              <w:t>Learning line on globalization</w:t>
            </w:r>
          </w:p>
        </w:tc>
      </w:tr>
      <w:tr w:rsidR="002304A9" w14:paraId="7782C865" w14:textId="77777777" w:rsidTr="005C4C07">
        <w:tc>
          <w:tcPr>
            <w:tcW w:w="4258" w:type="dxa"/>
          </w:tcPr>
          <w:p w14:paraId="097524C1" w14:textId="77777777" w:rsidR="002304A9" w:rsidRPr="00342C6D" w:rsidRDefault="002304A9" w:rsidP="005C4C07">
            <w:pPr>
              <w:numPr>
                <w:ilvl w:val="0"/>
                <w:numId w:val="8"/>
              </w:numPr>
              <w:rPr>
                <w:sz w:val="20"/>
                <w:szCs w:val="20"/>
              </w:rPr>
            </w:pPr>
            <w:r w:rsidRPr="00342C6D">
              <w:rPr>
                <w:sz w:val="20"/>
                <w:szCs w:val="20"/>
              </w:rPr>
              <w:t xml:space="preserve">Have a clear </w:t>
            </w:r>
            <w:r w:rsidRPr="00342C6D">
              <w:rPr>
                <w:b/>
                <w:sz w:val="20"/>
                <w:szCs w:val="20"/>
              </w:rPr>
              <w:t>notion</w:t>
            </w:r>
            <w:r w:rsidRPr="00342C6D">
              <w:rPr>
                <w:sz w:val="20"/>
                <w:szCs w:val="20"/>
              </w:rPr>
              <w:t xml:space="preserve"> of user, society and enterprise, in relation to technology.</w:t>
            </w:r>
          </w:p>
          <w:p w14:paraId="6E0FB9E1" w14:textId="77777777" w:rsidR="002304A9" w:rsidRPr="00342C6D" w:rsidRDefault="002304A9" w:rsidP="005C4C07">
            <w:pPr>
              <w:ind w:left="360"/>
              <w:rPr>
                <w:sz w:val="20"/>
                <w:szCs w:val="20"/>
              </w:rPr>
            </w:pPr>
          </w:p>
        </w:tc>
        <w:tc>
          <w:tcPr>
            <w:tcW w:w="4258" w:type="dxa"/>
          </w:tcPr>
          <w:p w14:paraId="00A3435A" w14:textId="5C9120A8" w:rsidR="002304A9" w:rsidRPr="00523D13" w:rsidRDefault="00781738" w:rsidP="005C4C07">
            <w:pPr>
              <w:rPr>
                <w:sz w:val="20"/>
                <w:szCs w:val="20"/>
              </w:rPr>
            </w:pPr>
            <w:r w:rsidRPr="00523D13">
              <w:rPr>
                <w:sz w:val="20"/>
                <w:szCs w:val="20"/>
              </w:rPr>
              <w:t>YES</w:t>
            </w:r>
          </w:p>
          <w:p w14:paraId="74C24D83" w14:textId="77777777" w:rsidR="00781738" w:rsidRPr="00523D13" w:rsidRDefault="00781738" w:rsidP="001F6EEB">
            <w:pPr>
              <w:rPr>
                <w:sz w:val="20"/>
                <w:szCs w:val="20"/>
              </w:rPr>
            </w:pPr>
          </w:p>
          <w:p w14:paraId="6C5AEEA9" w14:textId="6F74E3BC" w:rsidR="00D228E5" w:rsidRPr="00523D13" w:rsidRDefault="00D228E5" w:rsidP="001F6EEB">
            <w:pPr>
              <w:rPr>
                <w:sz w:val="20"/>
                <w:szCs w:val="20"/>
              </w:rPr>
            </w:pPr>
            <w:r w:rsidRPr="00523D13">
              <w:rPr>
                <w:sz w:val="20"/>
                <w:szCs w:val="20"/>
              </w:rPr>
              <w:t>-</w:t>
            </w:r>
            <w:r w:rsidR="001F6EEB" w:rsidRPr="00523D13">
              <w:rPr>
                <w:sz w:val="20"/>
                <w:szCs w:val="20"/>
              </w:rPr>
              <w:t>USE aspects integrated in every course</w:t>
            </w:r>
            <w:r w:rsidR="00781738" w:rsidRPr="00523D13">
              <w:rPr>
                <w:sz w:val="20"/>
                <w:szCs w:val="20"/>
              </w:rPr>
              <w:t xml:space="preserve"> sequence</w:t>
            </w:r>
          </w:p>
        </w:tc>
      </w:tr>
      <w:tr w:rsidR="002304A9" w14:paraId="5E4A569B" w14:textId="77777777" w:rsidTr="005C4C07">
        <w:tc>
          <w:tcPr>
            <w:tcW w:w="4258" w:type="dxa"/>
          </w:tcPr>
          <w:p w14:paraId="6F4EC665" w14:textId="77777777" w:rsidR="002304A9" w:rsidRPr="00342C6D" w:rsidRDefault="002304A9" w:rsidP="005C4C07">
            <w:pPr>
              <w:numPr>
                <w:ilvl w:val="0"/>
                <w:numId w:val="8"/>
              </w:numPr>
              <w:rPr>
                <w:sz w:val="20"/>
                <w:szCs w:val="20"/>
              </w:rPr>
            </w:pPr>
            <w:r w:rsidRPr="00342C6D">
              <w:rPr>
                <w:sz w:val="20"/>
                <w:szCs w:val="20"/>
              </w:rPr>
              <w:t xml:space="preserve">Have knowledge of some of the </w:t>
            </w:r>
            <w:r w:rsidRPr="00342C6D">
              <w:rPr>
                <w:b/>
                <w:sz w:val="20"/>
                <w:szCs w:val="20"/>
              </w:rPr>
              <w:t>concepts</w:t>
            </w:r>
            <w:r w:rsidRPr="00342C6D">
              <w:rPr>
                <w:sz w:val="20"/>
                <w:szCs w:val="20"/>
              </w:rPr>
              <w:t xml:space="preserve">, tools, and methods in the humanities, social sciences or management sciences, needed to </w:t>
            </w:r>
            <w:r w:rsidRPr="00342C6D">
              <w:rPr>
                <w:i/>
                <w:iCs/>
                <w:sz w:val="20"/>
                <w:szCs w:val="20"/>
              </w:rPr>
              <w:t>understand</w:t>
            </w:r>
            <w:r w:rsidRPr="00342C6D">
              <w:rPr>
                <w:sz w:val="20"/>
                <w:szCs w:val="20"/>
              </w:rPr>
              <w:t xml:space="preserve"> (explain, model) and </w:t>
            </w:r>
            <w:r w:rsidRPr="00342C6D">
              <w:rPr>
                <w:i/>
                <w:iCs/>
                <w:sz w:val="20"/>
                <w:szCs w:val="20"/>
              </w:rPr>
              <w:t>evaluate</w:t>
            </w:r>
            <w:r w:rsidRPr="00342C6D">
              <w:rPr>
                <w:sz w:val="20"/>
                <w:szCs w:val="20"/>
              </w:rPr>
              <w:t xml:space="preserve"> (instrumentally, ethically) the multiple interactions between technology, user, society and enterprise.</w:t>
            </w:r>
          </w:p>
          <w:p w14:paraId="3C1E0CB3" w14:textId="77777777" w:rsidR="002304A9" w:rsidRPr="00342C6D" w:rsidRDefault="002304A9" w:rsidP="005C4C07">
            <w:pPr>
              <w:rPr>
                <w:sz w:val="20"/>
                <w:szCs w:val="20"/>
              </w:rPr>
            </w:pPr>
          </w:p>
        </w:tc>
        <w:tc>
          <w:tcPr>
            <w:tcW w:w="4258" w:type="dxa"/>
          </w:tcPr>
          <w:p w14:paraId="77AE71F9" w14:textId="77777777" w:rsidR="00781738" w:rsidRPr="00523D13" w:rsidRDefault="00781738" w:rsidP="00781738">
            <w:pPr>
              <w:rPr>
                <w:sz w:val="20"/>
                <w:szCs w:val="20"/>
              </w:rPr>
            </w:pPr>
            <w:r w:rsidRPr="00523D13">
              <w:rPr>
                <w:sz w:val="20"/>
                <w:szCs w:val="20"/>
              </w:rPr>
              <w:t>YES</w:t>
            </w:r>
          </w:p>
          <w:p w14:paraId="2B263B6B" w14:textId="77777777" w:rsidR="00781738" w:rsidRPr="00523D13" w:rsidRDefault="00781738" w:rsidP="005C4C07">
            <w:pPr>
              <w:rPr>
                <w:sz w:val="20"/>
                <w:szCs w:val="20"/>
              </w:rPr>
            </w:pPr>
          </w:p>
          <w:p w14:paraId="3DC687AB" w14:textId="286E1AFD" w:rsidR="002304A9" w:rsidRDefault="002304A9" w:rsidP="005C4C07">
            <w:pPr>
              <w:rPr>
                <w:sz w:val="20"/>
                <w:szCs w:val="20"/>
              </w:rPr>
            </w:pPr>
            <w:r w:rsidRPr="00523D13">
              <w:rPr>
                <w:sz w:val="20"/>
                <w:szCs w:val="20"/>
              </w:rPr>
              <w:t>-USE basic concepts</w:t>
            </w:r>
            <w:r w:rsidR="001F6EEB" w:rsidRPr="00523D13">
              <w:rPr>
                <w:sz w:val="20"/>
                <w:szCs w:val="20"/>
              </w:rPr>
              <w:t xml:space="preserve"> will be built upon, </w:t>
            </w:r>
            <w:r w:rsidR="00781738" w:rsidRPr="00523D13">
              <w:rPr>
                <w:sz w:val="20"/>
                <w:szCs w:val="20"/>
              </w:rPr>
              <w:t>e.g.</w:t>
            </w:r>
            <w:r w:rsidR="001F6EEB" w:rsidRPr="00523D13">
              <w:rPr>
                <w:sz w:val="20"/>
                <w:szCs w:val="20"/>
              </w:rPr>
              <w:t xml:space="preserve"> technological determinism, co-creation, technology </w:t>
            </w:r>
            <w:r w:rsidR="00107EC1">
              <w:rPr>
                <w:sz w:val="20"/>
                <w:szCs w:val="20"/>
              </w:rPr>
              <w:t>involves</w:t>
            </w:r>
            <w:r w:rsidR="001F6EEB" w:rsidRPr="00523D13">
              <w:rPr>
                <w:sz w:val="20"/>
                <w:szCs w:val="20"/>
              </w:rPr>
              <w:t xml:space="preserve"> politics</w:t>
            </w:r>
          </w:p>
          <w:p w14:paraId="37A07CA6" w14:textId="04D9C689" w:rsidR="00523D13" w:rsidRPr="00523D13" w:rsidRDefault="00523D13" w:rsidP="005C4C07">
            <w:pPr>
              <w:rPr>
                <w:sz w:val="20"/>
                <w:szCs w:val="20"/>
              </w:rPr>
            </w:pPr>
            <w:r>
              <w:rPr>
                <w:sz w:val="20"/>
                <w:szCs w:val="20"/>
              </w:rPr>
              <w:t>-</w:t>
            </w:r>
            <w:r w:rsidR="0097255B">
              <w:rPr>
                <w:sz w:val="20"/>
                <w:szCs w:val="20"/>
              </w:rPr>
              <w:t>USE concepts important in</w:t>
            </w:r>
            <w:r w:rsidR="0054173C">
              <w:rPr>
                <w:sz w:val="20"/>
                <w:szCs w:val="20"/>
              </w:rPr>
              <w:t xml:space="preserve"> and </w:t>
            </w:r>
            <w:r w:rsidR="00B27399">
              <w:rPr>
                <w:sz w:val="20"/>
                <w:szCs w:val="20"/>
              </w:rPr>
              <w:t xml:space="preserve">for </w:t>
            </w:r>
            <w:r>
              <w:rPr>
                <w:sz w:val="20"/>
                <w:szCs w:val="20"/>
              </w:rPr>
              <w:t xml:space="preserve">globalization will be introduced, e.g. context </w:t>
            </w:r>
            <w:r w:rsidR="00231DD6">
              <w:rPr>
                <w:sz w:val="20"/>
                <w:szCs w:val="20"/>
              </w:rPr>
              <w:t>sensitivity, reflecting on assumptions</w:t>
            </w:r>
            <w:r>
              <w:rPr>
                <w:sz w:val="20"/>
                <w:szCs w:val="20"/>
              </w:rPr>
              <w:t xml:space="preserve"> </w:t>
            </w:r>
            <w:r w:rsidR="00231DD6">
              <w:rPr>
                <w:sz w:val="20"/>
                <w:szCs w:val="20"/>
              </w:rPr>
              <w:t>etc.</w:t>
            </w:r>
          </w:p>
          <w:p w14:paraId="305F97AB" w14:textId="5D248C08" w:rsidR="001C1D9D" w:rsidRPr="00523D13" w:rsidRDefault="001C1D9D" w:rsidP="005C4C07">
            <w:pPr>
              <w:rPr>
                <w:sz w:val="20"/>
                <w:szCs w:val="20"/>
              </w:rPr>
            </w:pPr>
          </w:p>
        </w:tc>
      </w:tr>
      <w:tr w:rsidR="002304A9" w14:paraId="2C8F04B1" w14:textId="77777777" w:rsidTr="005C4C07">
        <w:tc>
          <w:tcPr>
            <w:tcW w:w="4258" w:type="dxa"/>
          </w:tcPr>
          <w:p w14:paraId="64E97031" w14:textId="77777777" w:rsidR="002304A9" w:rsidRPr="00342C6D" w:rsidRDefault="002304A9" w:rsidP="005C4C07">
            <w:pPr>
              <w:numPr>
                <w:ilvl w:val="0"/>
                <w:numId w:val="9"/>
              </w:numPr>
              <w:rPr>
                <w:sz w:val="20"/>
                <w:szCs w:val="20"/>
              </w:rPr>
            </w:pPr>
            <w:r w:rsidRPr="00342C6D">
              <w:rPr>
                <w:sz w:val="20"/>
                <w:szCs w:val="20"/>
              </w:rPr>
              <w:t xml:space="preserve">Are able to </w:t>
            </w:r>
            <w:r w:rsidRPr="00342C6D">
              <w:rPr>
                <w:b/>
                <w:sz w:val="20"/>
                <w:szCs w:val="20"/>
              </w:rPr>
              <w:t>apply</w:t>
            </w:r>
            <w:r w:rsidRPr="00342C6D">
              <w:rPr>
                <w:sz w:val="20"/>
                <w:szCs w:val="20"/>
              </w:rPr>
              <w:t xml:space="preserve"> that knowledge in the design, development and evaluation of technologies.</w:t>
            </w:r>
          </w:p>
          <w:p w14:paraId="6A81F99D" w14:textId="77777777" w:rsidR="002304A9" w:rsidRPr="00342C6D" w:rsidRDefault="002304A9" w:rsidP="005C4C07">
            <w:pPr>
              <w:rPr>
                <w:sz w:val="20"/>
                <w:szCs w:val="20"/>
              </w:rPr>
            </w:pPr>
          </w:p>
        </w:tc>
        <w:tc>
          <w:tcPr>
            <w:tcW w:w="4258" w:type="dxa"/>
          </w:tcPr>
          <w:p w14:paraId="7A5748FA" w14:textId="77777777" w:rsidR="00781738" w:rsidRPr="00523D13" w:rsidRDefault="00781738" w:rsidP="00781738">
            <w:pPr>
              <w:rPr>
                <w:sz w:val="20"/>
                <w:szCs w:val="20"/>
              </w:rPr>
            </w:pPr>
            <w:r w:rsidRPr="00523D13">
              <w:rPr>
                <w:sz w:val="20"/>
                <w:szCs w:val="20"/>
              </w:rPr>
              <w:t>YES</w:t>
            </w:r>
          </w:p>
          <w:p w14:paraId="5E1CE90B" w14:textId="77777777" w:rsidR="00781738" w:rsidRPr="00523D13" w:rsidRDefault="00781738" w:rsidP="00D97E1F">
            <w:pPr>
              <w:rPr>
                <w:sz w:val="20"/>
                <w:szCs w:val="20"/>
              </w:rPr>
            </w:pPr>
          </w:p>
          <w:p w14:paraId="3EC527A7" w14:textId="3CFA4D6A" w:rsidR="002304A9" w:rsidRPr="00523D13" w:rsidRDefault="002304A9" w:rsidP="00D97E1F">
            <w:pPr>
              <w:rPr>
                <w:sz w:val="20"/>
                <w:szCs w:val="20"/>
              </w:rPr>
            </w:pPr>
            <w:r w:rsidRPr="00523D13">
              <w:rPr>
                <w:sz w:val="20"/>
                <w:szCs w:val="20"/>
              </w:rPr>
              <w:t>-</w:t>
            </w:r>
            <w:r w:rsidR="00D97E1F" w:rsidRPr="00523D13">
              <w:rPr>
                <w:sz w:val="20"/>
                <w:szCs w:val="20"/>
              </w:rPr>
              <w:t xml:space="preserve">throughout the sequence </w:t>
            </w:r>
            <w:r w:rsidR="001F6EEB" w:rsidRPr="00523D13">
              <w:rPr>
                <w:sz w:val="20"/>
                <w:szCs w:val="20"/>
              </w:rPr>
              <w:t>students will work on cases in which technical and USE aspects form an integral part</w:t>
            </w:r>
          </w:p>
        </w:tc>
      </w:tr>
      <w:tr w:rsidR="002304A9" w14:paraId="423F4BDF" w14:textId="77777777" w:rsidTr="005C4C07">
        <w:tc>
          <w:tcPr>
            <w:tcW w:w="4258" w:type="dxa"/>
          </w:tcPr>
          <w:p w14:paraId="05B3B7AC" w14:textId="09F0F6C9" w:rsidR="002304A9" w:rsidRPr="00342C6D" w:rsidRDefault="00F10E68" w:rsidP="005C4C07">
            <w:pPr>
              <w:numPr>
                <w:ilvl w:val="0"/>
                <w:numId w:val="9"/>
              </w:numPr>
              <w:rPr>
                <w:sz w:val="20"/>
                <w:szCs w:val="20"/>
              </w:rPr>
            </w:pPr>
            <w:r w:rsidRPr="00342C6D">
              <w:rPr>
                <w:sz w:val="20"/>
                <w:szCs w:val="20"/>
              </w:rPr>
              <w:t>A</w:t>
            </w:r>
            <w:r w:rsidR="002304A9" w:rsidRPr="00342C6D">
              <w:rPr>
                <w:sz w:val="20"/>
                <w:szCs w:val="20"/>
              </w:rPr>
              <w:t xml:space="preserve">re able to take a well-argued </w:t>
            </w:r>
            <w:r w:rsidR="002304A9" w:rsidRPr="00342C6D">
              <w:rPr>
                <w:b/>
                <w:sz w:val="20"/>
                <w:szCs w:val="20"/>
              </w:rPr>
              <w:t>stance</w:t>
            </w:r>
            <w:r w:rsidR="002304A9" w:rsidRPr="00342C6D">
              <w:rPr>
                <w:sz w:val="20"/>
                <w:szCs w:val="20"/>
              </w:rPr>
              <w:t xml:space="preserve"> on user, society and enterprise aspects of technologies.</w:t>
            </w:r>
          </w:p>
          <w:p w14:paraId="5A99EBE4" w14:textId="77777777" w:rsidR="002304A9" w:rsidRPr="00342C6D" w:rsidRDefault="002304A9" w:rsidP="005C4C07">
            <w:pPr>
              <w:ind w:left="720"/>
              <w:rPr>
                <w:sz w:val="20"/>
                <w:szCs w:val="20"/>
              </w:rPr>
            </w:pPr>
          </w:p>
        </w:tc>
        <w:tc>
          <w:tcPr>
            <w:tcW w:w="4258" w:type="dxa"/>
          </w:tcPr>
          <w:p w14:paraId="019791D7" w14:textId="77777777" w:rsidR="00781738" w:rsidRPr="00523D13" w:rsidRDefault="00781738" w:rsidP="00781738">
            <w:pPr>
              <w:rPr>
                <w:sz w:val="20"/>
                <w:szCs w:val="20"/>
              </w:rPr>
            </w:pPr>
            <w:r w:rsidRPr="00523D13">
              <w:rPr>
                <w:sz w:val="20"/>
                <w:szCs w:val="20"/>
              </w:rPr>
              <w:t>YES</w:t>
            </w:r>
          </w:p>
          <w:p w14:paraId="1625388B" w14:textId="77777777" w:rsidR="00781738" w:rsidRPr="00523D13" w:rsidRDefault="00781738" w:rsidP="005C4C07">
            <w:pPr>
              <w:rPr>
                <w:sz w:val="20"/>
                <w:szCs w:val="20"/>
              </w:rPr>
            </w:pPr>
          </w:p>
          <w:p w14:paraId="14D17341" w14:textId="2A685A1B" w:rsidR="002304A9" w:rsidRPr="00523D13" w:rsidRDefault="001F6EEB" w:rsidP="00231DD6">
            <w:pPr>
              <w:rPr>
                <w:sz w:val="20"/>
                <w:szCs w:val="20"/>
              </w:rPr>
            </w:pPr>
            <w:r w:rsidRPr="00523D13">
              <w:rPr>
                <w:sz w:val="20"/>
                <w:szCs w:val="20"/>
              </w:rPr>
              <w:t xml:space="preserve">-students will be </w:t>
            </w:r>
            <w:r w:rsidR="000C65FB">
              <w:rPr>
                <w:sz w:val="20"/>
                <w:szCs w:val="20"/>
              </w:rPr>
              <w:t xml:space="preserve">trained and </w:t>
            </w:r>
            <w:r w:rsidRPr="00523D13">
              <w:rPr>
                <w:sz w:val="20"/>
                <w:szCs w:val="20"/>
              </w:rPr>
              <w:t xml:space="preserve">tested on this during </w:t>
            </w:r>
            <w:r w:rsidR="00231DD6">
              <w:rPr>
                <w:sz w:val="20"/>
                <w:szCs w:val="20"/>
              </w:rPr>
              <w:t>each course sequence</w:t>
            </w:r>
          </w:p>
        </w:tc>
      </w:tr>
      <w:tr w:rsidR="002304A9" w14:paraId="3F2AC599" w14:textId="77777777" w:rsidTr="005C4C07">
        <w:tc>
          <w:tcPr>
            <w:tcW w:w="4258" w:type="dxa"/>
          </w:tcPr>
          <w:p w14:paraId="114E79E3" w14:textId="77777777" w:rsidR="002304A9" w:rsidRPr="00342C6D" w:rsidRDefault="002304A9" w:rsidP="005C4C07">
            <w:pPr>
              <w:numPr>
                <w:ilvl w:val="0"/>
                <w:numId w:val="9"/>
              </w:numPr>
              <w:rPr>
                <w:sz w:val="20"/>
                <w:szCs w:val="20"/>
              </w:rPr>
            </w:pPr>
            <w:r w:rsidRPr="00342C6D">
              <w:rPr>
                <w:sz w:val="20"/>
                <w:szCs w:val="20"/>
              </w:rPr>
              <w:t xml:space="preserve">Are able to </w:t>
            </w:r>
            <w:r w:rsidRPr="00342C6D">
              <w:rPr>
                <w:b/>
                <w:sz w:val="20"/>
                <w:szCs w:val="20"/>
              </w:rPr>
              <w:t>reflect</w:t>
            </w:r>
            <w:r w:rsidRPr="00342C6D">
              <w:rPr>
                <w:sz w:val="20"/>
                <w:szCs w:val="20"/>
              </w:rPr>
              <w:t xml:space="preserve"> on the development and responsibilities of the engineering profession.</w:t>
            </w:r>
          </w:p>
          <w:p w14:paraId="0AA6C512" w14:textId="77777777" w:rsidR="002304A9" w:rsidRPr="00342C6D" w:rsidRDefault="002304A9" w:rsidP="005C4C07">
            <w:pPr>
              <w:rPr>
                <w:sz w:val="20"/>
                <w:szCs w:val="20"/>
              </w:rPr>
            </w:pPr>
          </w:p>
        </w:tc>
        <w:tc>
          <w:tcPr>
            <w:tcW w:w="4258" w:type="dxa"/>
          </w:tcPr>
          <w:p w14:paraId="584A081E" w14:textId="77777777" w:rsidR="00781738" w:rsidRPr="00523D13" w:rsidRDefault="00781738" w:rsidP="00781738">
            <w:pPr>
              <w:rPr>
                <w:sz w:val="20"/>
                <w:szCs w:val="20"/>
              </w:rPr>
            </w:pPr>
            <w:r w:rsidRPr="00523D13">
              <w:rPr>
                <w:sz w:val="20"/>
                <w:szCs w:val="20"/>
              </w:rPr>
              <w:t>YES</w:t>
            </w:r>
          </w:p>
          <w:p w14:paraId="5621586C" w14:textId="77777777" w:rsidR="00781738" w:rsidRPr="00523D13" w:rsidRDefault="00781738" w:rsidP="00781738">
            <w:pPr>
              <w:rPr>
                <w:rFonts w:ascii="Menlo Regular" w:hAnsi="Menlo Regular" w:cs="Menlo Regular"/>
                <w:color w:val="008000"/>
                <w:sz w:val="20"/>
                <w:szCs w:val="20"/>
              </w:rPr>
            </w:pPr>
          </w:p>
          <w:p w14:paraId="31C073E4" w14:textId="0D9D795B" w:rsidR="002304A9" w:rsidRPr="00523D13" w:rsidRDefault="003C7C95" w:rsidP="00781738">
            <w:pPr>
              <w:rPr>
                <w:sz w:val="20"/>
                <w:szCs w:val="20"/>
              </w:rPr>
            </w:pPr>
            <w:r>
              <w:rPr>
                <w:sz w:val="20"/>
                <w:szCs w:val="20"/>
              </w:rPr>
              <w:t>-through context- and place-</w:t>
            </w:r>
            <w:r w:rsidR="001F6EEB" w:rsidRPr="00523D13">
              <w:rPr>
                <w:sz w:val="20"/>
                <w:szCs w:val="20"/>
              </w:rPr>
              <w:t xml:space="preserve">based learning students will be exposed to their profession in practice context </w:t>
            </w:r>
          </w:p>
        </w:tc>
      </w:tr>
      <w:tr w:rsidR="002304A9" w14:paraId="366DCAC3" w14:textId="77777777" w:rsidTr="005C4C07">
        <w:tc>
          <w:tcPr>
            <w:tcW w:w="4258" w:type="dxa"/>
          </w:tcPr>
          <w:p w14:paraId="66EB5B44" w14:textId="77777777" w:rsidR="002304A9" w:rsidRPr="00342C6D" w:rsidRDefault="002304A9" w:rsidP="005C4C07">
            <w:pPr>
              <w:numPr>
                <w:ilvl w:val="0"/>
                <w:numId w:val="9"/>
              </w:numPr>
              <w:rPr>
                <w:sz w:val="20"/>
                <w:szCs w:val="20"/>
              </w:rPr>
            </w:pPr>
            <w:r w:rsidRPr="00342C6D">
              <w:rPr>
                <w:sz w:val="20"/>
                <w:szCs w:val="20"/>
              </w:rPr>
              <w:t xml:space="preserve">Are able to work in </w:t>
            </w:r>
            <w:r w:rsidRPr="00342C6D">
              <w:rPr>
                <w:b/>
                <w:sz w:val="20"/>
                <w:szCs w:val="20"/>
              </w:rPr>
              <w:t>multidisciplinary</w:t>
            </w:r>
            <w:r w:rsidRPr="00342C6D">
              <w:rPr>
                <w:sz w:val="20"/>
                <w:szCs w:val="20"/>
              </w:rPr>
              <w:t xml:space="preserve"> teams and to reflect on the contribution of team members and of the various disciplines involved.</w:t>
            </w:r>
          </w:p>
          <w:p w14:paraId="6E1933FD" w14:textId="77777777" w:rsidR="002304A9" w:rsidRPr="00342C6D" w:rsidRDefault="002304A9" w:rsidP="005C4C07">
            <w:pPr>
              <w:ind w:left="360"/>
              <w:rPr>
                <w:sz w:val="20"/>
                <w:szCs w:val="20"/>
              </w:rPr>
            </w:pPr>
          </w:p>
        </w:tc>
        <w:tc>
          <w:tcPr>
            <w:tcW w:w="4258" w:type="dxa"/>
          </w:tcPr>
          <w:p w14:paraId="2CF6F567" w14:textId="77777777" w:rsidR="00781738" w:rsidRPr="00523D13" w:rsidRDefault="00781738" w:rsidP="00781738">
            <w:pPr>
              <w:rPr>
                <w:sz w:val="20"/>
                <w:szCs w:val="20"/>
              </w:rPr>
            </w:pPr>
            <w:r w:rsidRPr="00523D13">
              <w:rPr>
                <w:sz w:val="20"/>
                <w:szCs w:val="20"/>
              </w:rPr>
              <w:t>YES</w:t>
            </w:r>
          </w:p>
          <w:p w14:paraId="19314025" w14:textId="77777777" w:rsidR="00781738" w:rsidRPr="00523D13" w:rsidRDefault="00781738" w:rsidP="001F6EEB">
            <w:pPr>
              <w:rPr>
                <w:sz w:val="20"/>
                <w:szCs w:val="20"/>
              </w:rPr>
            </w:pPr>
          </w:p>
          <w:p w14:paraId="24323D7E" w14:textId="57571186" w:rsidR="002304A9" w:rsidRPr="00523D13" w:rsidRDefault="001F6EEB" w:rsidP="00D03120">
            <w:pPr>
              <w:rPr>
                <w:sz w:val="20"/>
                <w:szCs w:val="20"/>
              </w:rPr>
            </w:pPr>
            <w:r w:rsidRPr="00523D13">
              <w:rPr>
                <w:sz w:val="20"/>
                <w:szCs w:val="20"/>
              </w:rPr>
              <w:t xml:space="preserve">-this will be </w:t>
            </w:r>
            <w:r w:rsidR="00D03120">
              <w:rPr>
                <w:sz w:val="20"/>
                <w:szCs w:val="20"/>
              </w:rPr>
              <w:t>trained</w:t>
            </w:r>
            <w:r w:rsidRPr="00523D13">
              <w:rPr>
                <w:sz w:val="20"/>
                <w:szCs w:val="20"/>
              </w:rPr>
              <w:t xml:space="preserve"> throughout the course when students work in multidisciplinary teams on </w:t>
            </w:r>
            <w:r w:rsidR="00D97E1F" w:rsidRPr="00523D13">
              <w:rPr>
                <w:sz w:val="20"/>
                <w:szCs w:val="20"/>
              </w:rPr>
              <w:t>t</w:t>
            </w:r>
            <w:r w:rsidRPr="00523D13">
              <w:rPr>
                <w:sz w:val="20"/>
                <w:szCs w:val="20"/>
              </w:rPr>
              <w:t>heir case-based sequential design</w:t>
            </w:r>
          </w:p>
        </w:tc>
      </w:tr>
      <w:tr w:rsidR="002304A9" w14:paraId="22E1BBA2" w14:textId="77777777" w:rsidTr="005C4C07">
        <w:tc>
          <w:tcPr>
            <w:tcW w:w="4258" w:type="dxa"/>
          </w:tcPr>
          <w:p w14:paraId="2D087953" w14:textId="77777777" w:rsidR="002304A9" w:rsidRPr="00342C6D" w:rsidRDefault="002304A9" w:rsidP="005C4C07">
            <w:pPr>
              <w:numPr>
                <w:ilvl w:val="0"/>
                <w:numId w:val="9"/>
              </w:numPr>
              <w:rPr>
                <w:sz w:val="20"/>
                <w:szCs w:val="20"/>
              </w:rPr>
            </w:pPr>
            <w:r w:rsidRPr="00342C6D">
              <w:rPr>
                <w:sz w:val="20"/>
                <w:szCs w:val="20"/>
              </w:rPr>
              <w:t xml:space="preserve">Are able to </w:t>
            </w:r>
            <w:r w:rsidRPr="00342C6D">
              <w:rPr>
                <w:b/>
                <w:sz w:val="20"/>
                <w:szCs w:val="20"/>
              </w:rPr>
              <w:t>communicate</w:t>
            </w:r>
            <w:r w:rsidRPr="00342C6D">
              <w:rPr>
                <w:sz w:val="20"/>
                <w:szCs w:val="20"/>
              </w:rPr>
              <w:t xml:space="preserve"> the results of their work to societal stakeholders (broadly conceived). </w:t>
            </w:r>
          </w:p>
          <w:p w14:paraId="392340DE" w14:textId="77777777" w:rsidR="002304A9" w:rsidRPr="00342C6D" w:rsidRDefault="002304A9" w:rsidP="005C4C07">
            <w:pPr>
              <w:ind w:left="720"/>
              <w:rPr>
                <w:sz w:val="20"/>
                <w:szCs w:val="20"/>
              </w:rPr>
            </w:pPr>
          </w:p>
        </w:tc>
        <w:tc>
          <w:tcPr>
            <w:tcW w:w="4258" w:type="dxa"/>
          </w:tcPr>
          <w:p w14:paraId="0B76BD75" w14:textId="77777777" w:rsidR="00781738" w:rsidRPr="00523D13" w:rsidRDefault="00781738" w:rsidP="00781738">
            <w:pPr>
              <w:rPr>
                <w:sz w:val="20"/>
                <w:szCs w:val="20"/>
              </w:rPr>
            </w:pPr>
            <w:r w:rsidRPr="00523D13">
              <w:rPr>
                <w:sz w:val="20"/>
                <w:szCs w:val="20"/>
              </w:rPr>
              <w:t>YES</w:t>
            </w:r>
          </w:p>
          <w:p w14:paraId="40C7E553" w14:textId="1176891C" w:rsidR="00512B65" w:rsidRPr="00523D13" w:rsidRDefault="00512B65" w:rsidP="00512B65">
            <w:pPr>
              <w:rPr>
                <w:rFonts w:ascii="Menlo Regular" w:hAnsi="Menlo Regular" w:cs="Menlo Regular"/>
                <w:color w:val="008000"/>
                <w:sz w:val="20"/>
                <w:szCs w:val="20"/>
              </w:rPr>
            </w:pPr>
          </w:p>
          <w:p w14:paraId="7264DF91" w14:textId="632970ED" w:rsidR="002304A9" w:rsidRPr="00523D13" w:rsidRDefault="001F6EEB" w:rsidP="00BD479C">
            <w:pPr>
              <w:rPr>
                <w:sz w:val="20"/>
                <w:szCs w:val="20"/>
              </w:rPr>
            </w:pPr>
            <w:r w:rsidRPr="00523D13">
              <w:rPr>
                <w:sz w:val="20"/>
                <w:szCs w:val="20"/>
              </w:rPr>
              <w:t xml:space="preserve">-students will </w:t>
            </w:r>
            <w:r w:rsidR="00D97E1F" w:rsidRPr="00523D13">
              <w:rPr>
                <w:sz w:val="20"/>
                <w:szCs w:val="20"/>
              </w:rPr>
              <w:t>work on assignment</w:t>
            </w:r>
            <w:r w:rsidR="00BD479C" w:rsidRPr="00523D13">
              <w:rPr>
                <w:sz w:val="20"/>
                <w:szCs w:val="20"/>
              </w:rPr>
              <w:t xml:space="preserve">s proposed by external partners; </w:t>
            </w:r>
            <w:r w:rsidR="00D97E1F" w:rsidRPr="00523D13">
              <w:rPr>
                <w:sz w:val="20"/>
                <w:szCs w:val="20"/>
              </w:rPr>
              <w:t xml:space="preserve">will </w:t>
            </w:r>
            <w:r w:rsidR="00D03120">
              <w:rPr>
                <w:sz w:val="20"/>
                <w:szCs w:val="20"/>
              </w:rPr>
              <w:t xml:space="preserve">receive input and </w:t>
            </w:r>
            <w:r w:rsidRPr="00523D13">
              <w:rPr>
                <w:sz w:val="20"/>
                <w:szCs w:val="20"/>
              </w:rPr>
              <w:t xml:space="preserve">supervision by societal stakeholders and will learn to communicate beyond their disciplinary boundaries </w:t>
            </w:r>
          </w:p>
        </w:tc>
      </w:tr>
      <w:tr w:rsidR="002304A9" w14:paraId="6F18ED85" w14:textId="77777777" w:rsidTr="005C4C07">
        <w:tc>
          <w:tcPr>
            <w:tcW w:w="4258" w:type="dxa"/>
          </w:tcPr>
          <w:p w14:paraId="48E7F65D" w14:textId="77777777" w:rsidR="002304A9" w:rsidRPr="00342C6D" w:rsidRDefault="002304A9" w:rsidP="005C4C07">
            <w:pPr>
              <w:numPr>
                <w:ilvl w:val="0"/>
                <w:numId w:val="9"/>
              </w:numPr>
              <w:rPr>
                <w:sz w:val="20"/>
                <w:szCs w:val="20"/>
              </w:rPr>
            </w:pPr>
            <w:r w:rsidRPr="00342C6D">
              <w:rPr>
                <w:sz w:val="20"/>
                <w:szCs w:val="20"/>
              </w:rPr>
              <w:t xml:space="preserve">Are </w:t>
            </w:r>
            <w:r w:rsidRPr="00342C6D">
              <w:rPr>
                <w:b/>
                <w:sz w:val="20"/>
                <w:szCs w:val="20"/>
              </w:rPr>
              <w:t>motivated</w:t>
            </w:r>
            <w:r w:rsidRPr="00342C6D">
              <w:rPr>
                <w:sz w:val="20"/>
                <w:szCs w:val="20"/>
              </w:rPr>
              <w:t xml:space="preserve"> to take USE aspects into account when developing technologies.</w:t>
            </w:r>
          </w:p>
        </w:tc>
        <w:tc>
          <w:tcPr>
            <w:tcW w:w="4258" w:type="dxa"/>
          </w:tcPr>
          <w:p w14:paraId="654EF384" w14:textId="77777777" w:rsidR="00781738" w:rsidRPr="00523D13" w:rsidRDefault="00781738" w:rsidP="00781738">
            <w:pPr>
              <w:rPr>
                <w:sz w:val="20"/>
                <w:szCs w:val="20"/>
              </w:rPr>
            </w:pPr>
            <w:r w:rsidRPr="00523D13">
              <w:rPr>
                <w:sz w:val="20"/>
                <w:szCs w:val="20"/>
              </w:rPr>
              <w:t>YES</w:t>
            </w:r>
          </w:p>
          <w:p w14:paraId="20E0E9C5" w14:textId="77777777" w:rsidR="00781738" w:rsidRPr="00523D13" w:rsidRDefault="00781738" w:rsidP="005C4C07">
            <w:pPr>
              <w:rPr>
                <w:sz w:val="20"/>
                <w:szCs w:val="20"/>
              </w:rPr>
            </w:pPr>
          </w:p>
          <w:p w14:paraId="78B5BCCD" w14:textId="66B817C1" w:rsidR="002304A9" w:rsidRPr="00523D13" w:rsidRDefault="001F6EEB" w:rsidP="005C4C07">
            <w:pPr>
              <w:rPr>
                <w:sz w:val="20"/>
                <w:szCs w:val="20"/>
              </w:rPr>
            </w:pPr>
            <w:r w:rsidRPr="00523D13">
              <w:rPr>
                <w:sz w:val="20"/>
                <w:szCs w:val="20"/>
              </w:rPr>
              <w:t>-cont</w:t>
            </w:r>
            <w:r w:rsidR="00CE1AD1">
              <w:rPr>
                <w:sz w:val="20"/>
                <w:szCs w:val="20"/>
              </w:rPr>
              <w:t>ext- and place-</w:t>
            </w:r>
            <w:r w:rsidRPr="00523D13">
              <w:rPr>
                <w:sz w:val="20"/>
                <w:szCs w:val="20"/>
              </w:rPr>
              <w:t>based learning will show the need</w:t>
            </w:r>
            <w:r w:rsidR="00CE1AD1">
              <w:rPr>
                <w:sz w:val="20"/>
                <w:szCs w:val="20"/>
              </w:rPr>
              <w:t xml:space="preserve"> and logics</w:t>
            </w:r>
            <w:r w:rsidRPr="00523D13">
              <w:rPr>
                <w:sz w:val="20"/>
                <w:szCs w:val="20"/>
              </w:rPr>
              <w:t xml:space="preserve"> to consider USE  in practice</w:t>
            </w:r>
          </w:p>
        </w:tc>
      </w:tr>
    </w:tbl>
    <w:p w14:paraId="5B27ABAC" w14:textId="24D55E5C" w:rsidR="005C4C07" w:rsidRPr="005C4C07" w:rsidRDefault="005C4C07" w:rsidP="005C4C07">
      <w:pPr>
        <w:pStyle w:val="Heading1"/>
      </w:pPr>
      <w:r>
        <w:t>Annex: Alignment with the USE learning objectives</w:t>
      </w:r>
    </w:p>
    <w:p w14:paraId="1E6E5EEC" w14:textId="21CD0B95" w:rsidR="00DE2A9D" w:rsidRPr="00C900F5" w:rsidRDefault="00DE2A9D" w:rsidP="00C900F5"/>
    <w:sectPr w:rsidR="00DE2A9D" w:rsidRPr="00C900F5" w:rsidSect="006F35DF">
      <w:footerReference w:type="even" r:id="rId8"/>
      <w:footerReference w:type="default" r:id="rId9"/>
      <w:pgSz w:w="11900" w:h="16840"/>
      <w:pgMar w:top="1134" w:right="1531" w:bottom="1134" w:left="1531"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57B91" w14:textId="77777777" w:rsidR="00BB4321" w:rsidRDefault="00BB4321" w:rsidP="001C264F">
      <w:r>
        <w:separator/>
      </w:r>
    </w:p>
  </w:endnote>
  <w:endnote w:type="continuationSeparator" w:id="0">
    <w:p w14:paraId="20F8FF2B" w14:textId="77777777" w:rsidR="00BB4321" w:rsidRDefault="00BB4321" w:rsidP="001C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815B9" w14:textId="77777777" w:rsidR="007B60C7" w:rsidRDefault="007B60C7" w:rsidP="00024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29D046" w14:textId="77777777" w:rsidR="007B60C7" w:rsidRDefault="007B60C7" w:rsidP="009F0F9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D2F6D" w14:textId="77777777" w:rsidR="007B60C7" w:rsidRPr="009F0F97" w:rsidRDefault="007B60C7" w:rsidP="00024AA3">
    <w:pPr>
      <w:pStyle w:val="Footer"/>
      <w:framePr w:wrap="around" w:vAnchor="text" w:hAnchor="margin" w:xAlign="right" w:y="1"/>
      <w:rPr>
        <w:rStyle w:val="PageNumber"/>
        <w:sz w:val="20"/>
        <w:szCs w:val="20"/>
      </w:rPr>
    </w:pPr>
    <w:r w:rsidRPr="009F0F97">
      <w:rPr>
        <w:rStyle w:val="PageNumber"/>
        <w:sz w:val="20"/>
        <w:szCs w:val="20"/>
      </w:rPr>
      <w:fldChar w:fldCharType="begin"/>
    </w:r>
    <w:r w:rsidRPr="009F0F97">
      <w:rPr>
        <w:rStyle w:val="PageNumber"/>
        <w:sz w:val="20"/>
        <w:szCs w:val="20"/>
      </w:rPr>
      <w:instrText xml:space="preserve">PAGE  </w:instrText>
    </w:r>
    <w:r w:rsidRPr="009F0F97">
      <w:rPr>
        <w:rStyle w:val="PageNumber"/>
        <w:sz w:val="20"/>
        <w:szCs w:val="20"/>
      </w:rPr>
      <w:fldChar w:fldCharType="separate"/>
    </w:r>
    <w:r w:rsidR="00336594">
      <w:rPr>
        <w:rStyle w:val="PageNumber"/>
        <w:noProof/>
        <w:sz w:val="20"/>
        <w:szCs w:val="20"/>
      </w:rPr>
      <w:t>1</w:t>
    </w:r>
    <w:r w:rsidRPr="009F0F97">
      <w:rPr>
        <w:rStyle w:val="PageNumber"/>
        <w:sz w:val="20"/>
        <w:szCs w:val="20"/>
      </w:rPr>
      <w:fldChar w:fldCharType="end"/>
    </w:r>
  </w:p>
  <w:p w14:paraId="7F0FBD27" w14:textId="1C18D635" w:rsidR="007B60C7" w:rsidRPr="009F0F97" w:rsidRDefault="007B60C7" w:rsidP="00062010">
    <w:pPr>
      <w:pStyle w:val="Footer"/>
      <w:ind w:right="360"/>
      <w:jc w:val="right"/>
      <w:rPr>
        <w:sz w:val="20"/>
        <w:szCs w:val="20"/>
      </w:rPr>
    </w:pPr>
    <w:r>
      <w:rPr>
        <w:sz w:val="20"/>
        <w:szCs w:val="20"/>
      </w:rPr>
      <w:t xml:space="preserve">Johanna </w:t>
    </w:r>
    <w:r w:rsidRPr="00CE021B">
      <w:rPr>
        <w:sz w:val="20"/>
        <w:szCs w:val="20"/>
      </w:rPr>
      <w:t>Höffken</w:t>
    </w:r>
    <w:proofErr w:type="gramStart"/>
    <w:r>
      <w:rPr>
        <w:sz w:val="20"/>
        <w:szCs w:val="20"/>
      </w:rPr>
      <w:t>;  j.i.hoffken@tue.nl</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1B488" w14:textId="77777777" w:rsidR="00BB4321" w:rsidRDefault="00BB4321" w:rsidP="001C264F">
      <w:r>
        <w:separator/>
      </w:r>
    </w:p>
  </w:footnote>
  <w:footnote w:type="continuationSeparator" w:id="0">
    <w:p w14:paraId="6F485BBB" w14:textId="77777777" w:rsidR="00BB4321" w:rsidRDefault="00BB4321" w:rsidP="001C26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31A"/>
    <w:multiLevelType w:val="hybridMultilevel"/>
    <w:tmpl w:val="7C1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D3728"/>
    <w:multiLevelType w:val="hybridMultilevel"/>
    <w:tmpl w:val="7D7C6A9A"/>
    <w:lvl w:ilvl="0" w:tplc="167E45E2">
      <w:start w:val="3"/>
      <w:numFmt w:val="decimal"/>
      <w:lvlText w:val="%1."/>
      <w:lvlJc w:val="left"/>
      <w:pPr>
        <w:tabs>
          <w:tab w:val="num" w:pos="720"/>
        </w:tabs>
        <w:ind w:left="720" w:hanging="360"/>
      </w:pPr>
    </w:lvl>
    <w:lvl w:ilvl="1" w:tplc="4D5C4C64" w:tentative="1">
      <w:start w:val="1"/>
      <w:numFmt w:val="decimal"/>
      <w:lvlText w:val="%2."/>
      <w:lvlJc w:val="left"/>
      <w:pPr>
        <w:tabs>
          <w:tab w:val="num" w:pos="1440"/>
        </w:tabs>
        <w:ind w:left="1440" w:hanging="360"/>
      </w:pPr>
    </w:lvl>
    <w:lvl w:ilvl="2" w:tplc="106C7DB8" w:tentative="1">
      <w:start w:val="1"/>
      <w:numFmt w:val="decimal"/>
      <w:lvlText w:val="%3."/>
      <w:lvlJc w:val="left"/>
      <w:pPr>
        <w:tabs>
          <w:tab w:val="num" w:pos="2160"/>
        </w:tabs>
        <w:ind w:left="2160" w:hanging="360"/>
      </w:pPr>
    </w:lvl>
    <w:lvl w:ilvl="3" w:tplc="7ED2A72A" w:tentative="1">
      <w:start w:val="1"/>
      <w:numFmt w:val="decimal"/>
      <w:lvlText w:val="%4."/>
      <w:lvlJc w:val="left"/>
      <w:pPr>
        <w:tabs>
          <w:tab w:val="num" w:pos="2880"/>
        </w:tabs>
        <w:ind w:left="2880" w:hanging="360"/>
      </w:pPr>
    </w:lvl>
    <w:lvl w:ilvl="4" w:tplc="737490B8" w:tentative="1">
      <w:start w:val="1"/>
      <w:numFmt w:val="decimal"/>
      <w:lvlText w:val="%5."/>
      <w:lvlJc w:val="left"/>
      <w:pPr>
        <w:tabs>
          <w:tab w:val="num" w:pos="3600"/>
        </w:tabs>
        <w:ind w:left="3600" w:hanging="360"/>
      </w:pPr>
    </w:lvl>
    <w:lvl w:ilvl="5" w:tplc="613E0160" w:tentative="1">
      <w:start w:val="1"/>
      <w:numFmt w:val="decimal"/>
      <w:lvlText w:val="%6."/>
      <w:lvlJc w:val="left"/>
      <w:pPr>
        <w:tabs>
          <w:tab w:val="num" w:pos="4320"/>
        </w:tabs>
        <w:ind w:left="4320" w:hanging="360"/>
      </w:pPr>
    </w:lvl>
    <w:lvl w:ilvl="6" w:tplc="1AA8EE8C" w:tentative="1">
      <w:start w:val="1"/>
      <w:numFmt w:val="decimal"/>
      <w:lvlText w:val="%7."/>
      <w:lvlJc w:val="left"/>
      <w:pPr>
        <w:tabs>
          <w:tab w:val="num" w:pos="5040"/>
        </w:tabs>
        <w:ind w:left="5040" w:hanging="360"/>
      </w:pPr>
    </w:lvl>
    <w:lvl w:ilvl="7" w:tplc="F3244E10" w:tentative="1">
      <w:start w:val="1"/>
      <w:numFmt w:val="decimal"/>
      <w:lvlText w:val="%8."/>
      <w:lvlJc w:val="left"/>
      <w:pPr>
        <w:tabs>
          <w:tab w:val="num" w:pos="5760"/>
        </w:tabs>
        <w:ind w:left="5760" w:hanging="360"/>
      </w:pPr>
    </w:lvl>
    <w:lvl w:ilvl="8" w:tplc="1D884F80" w:tentative="1">
      <w:start w:val="1"/>
      <w:numFmt w:val="decimal"/>
      <w:lvlText w:val="%9."/>
      <w:lvlJc w:val="left"/>
      <w:pPr>
        <w:tabs>
          <w:tab w:val="num" w:pos="6480"/>
        </w:tabs>
        <w:ind w:left="6480" w:hanging="360"/>
      </w:pPr>
    </w:lvl>
  </w:abstractNum>
  <w:abstractNum w:abstractNumId="2">
    <w:nsid w:val="0CDF08AF"/>
    <w:multiLevelType w:val="hybridMultilevel"/>
    <w:tmpl w:val="7F48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043ED"/>
    <w:multiLevelType w:val="hybridMultilevel"/>
    <w:tmpl w:val="5D80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2111E"/>
    <w:multiLevelType w:val="hybridMultilevel"/>
    <w:tmpl w:val="C48CA4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82DE5"/>
    <w:multiLevelType w:val="hybridMultilevel"/>
    <w:tmpl w:val="D3AE6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3F0859"/>
    <w:multiLevelType w:val="hybridMultilevel"/>
    <w:tmpl w:val="FB1C2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E4578"/>
    <w:multiLevelType w:val="hybridMultilevel"/>
    <w:tmpl w:val="E754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A9402C"/>
    <w:multiLevelType w:val="hybridMultilevel"/>
    <w:tmpl w:val="0EA663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BEB2878"/>
    <w:multiLevelType w:val="hybridMultilevel"/>
    <w:tmpl w:val="DD84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4465F2"/>
    <w:multiLevelType w:val="hybridMultilevel"/>
    <w:tmpl w:val="1A46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D71703"/>
    <w:multiLevelType w:val="hybridMultilevel"/>
    <w:tmpl w:val="94C0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8748C2"/>
    <w:multiLevelType w:val="hybridMultilevel"/>
    <w:tmpl w:val="1C2C4608"/>
    <w:lvl w:ilvl="0" w:tplc="3476015C">
      <w:start w:val="1"/>
      <w:numFmt w:val="decimal"/>
      <w:lvlText w:val="%1."/>
      <w:lvlJc w:val="left"/>
      <w:pPr>
        <w:tabs>
          <w:tab w:val="num" w:pos="720"/>
        </w:tabs>
        <w:ind w:left="720" w:hanging="360"/>
      </w:pPr>
    </w:lvl>
    <w:lvl w:ilvl="1" w:tplc="9528C724" w:tentative="1">
      <w:start w:val="1"/>
      <w:numFmt w:val="decimal"/>
      <w:lvlText w:val="%2."/>
      <w:lvlJc w:val="left"/>
      <w:pPr>
        <w:tabs>
          <w:tab w:val="num" w:pos="1440"/>
        </w:tabs>
        <w:ind w:left="1440" w:hanging="360"/>
      </w:pPr>
    </w:lvl>
    <w:lvl w:ilvl="2" w:tplc="250A4416" w:tentative="1">
      <w:start w:val="1"/>
      <w:numFmt w:val="decimal"/>
      <w:lvlText w:val="%3."/>
      <w:lvlJc w:val="left"/>
      <w:pPr>
        <w:tabs>
          <w:tab w:val="num" w:pos="2160"/>
        </w:tabs>
        <w:ind w:left="2160" w:hanging="360"/>
      </w:pPr>
    </w:lvl>
    <w:lvl w:ilvl="3" w:tplc="6D4450EA" w:tentative="1">
      <w:start w:val="1"/>
      <w:numFmt w:val="decimal"/>
      <w:lvlText w:val="%4."/>
      <w:lvlJc w:val="left"/>
      <w:pPr>
        <w:tabs>
          <w:tab w:val="num" w:pos="2880"/>
        </w:tabs>
        <w:ind w:left="2880" w:hanging="360"/>
      </w:pPr>
    </w:lvl>
    <w:lvl w:ilvl="4" w:tplc="8B9A212A" w:tentative="1">
      <w:start w:val="1"/>
      <w:numFmt w:val="decimal"/>
      <w:lvlText w:val="%5."/>
      <w:lvlJc w:val="left"/>
      <w:pPr>
        <w:tabs>
          <w:tab w:val="num" w:pos="3600"/>
        </w:tabs>
        <w:ind w:left="3600" w:hanging="360"/>
      </w:pPr>
    </w:lvl>
    <w:lvl w:ilvl="5" w:tplc="94D673DE" w:tentative="1">
      <w:start w:val="1"/>
      <w:numFmt w:val="decimal"/>
      <w:lvlText w:val="%6."/>
      <w:lvlJc w:val="left"/>
      <w:pPr>
        <w:tabs>
          <w:tab w:val="num" w:pos="4320"/>
        </w:tabs>
        <w:ind w:left="4320" w:hanging="360"/>
      </w:pPr>
    </w:lvl>
    <w:lvl w:ilvl="6" w:tplc="8B56D800" w:tentative="1">
      <w:start w:val="1"/>
      <w:numFmt w:val="decimal"/>
      <w:lvlText w:val="%7."/>
      <w:lvlJc w:val="left"/>
      <w:pPr>
        <w:tabs>
          <w:tab w:val="num" w:pos="5040"/>
        </w:tabs>
        <w:ind w:left="5040" w:hanging="360"/>
      </w:pPr>
    </w:lvl>
    <w:lvl w:ilvl="7" w:tplc="06C87FE6" w:tentative="1">
      <w:start w:val="1"/>
      <w:numFmt w:val="decimal"/>
      <w:lvlText w:val="%8."/>
      <w:lvlJc w:val="left"/>
      <w:pPr>
        <w:tabs>
          <w:tab w:val="num" w:pos="5760"/>
        </w:tabs>
        <w:ind w:left="5760" w:hanging="360"/>
      </w:pPr>
    </w:lvl>
    <w:lvl w:ilvl="8" w:tplc="1794E47C" w:tentative="1">
      <w:start w:val="1"/>
      <w:numFmt w:val="decimal"/>
      <w:lvlText w:val="%9."/>
      <w:lvlJc w:val="left"/>
      <w:pPr>
        <w:tabs>
          <w:tab w:val="num" w:pos="6480"/>
        </w:tabs>
        <w:ind w:left="6480" w:hanging="360"/>
      </w:pPr>
    </w:lvl>
  </w:abstractNum>
  <w:abstractNum w:abstractNumId="13">
    <w:nsid w:val="7A1F45BA"/>
    <w:multiLevelType w:val="hybridMultilevel"/>
    <w:tmpl w:val="82E8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E602B0"/>
    <w:multiLevelType w:val="hybridMultilevel"/>
    <w:tmpl w:val="8954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14"/>
  </w:num>
  <w:num w:numId="5">
    <w:abstractNumId w:val="13"/>
  </w:num>
  <w:num w:numId="6">
    <w:abstractNumId w:val="7"/>
  </w:num>
  <w:num w:numId="7">
    <w:abstractNumId w:val="10"/>
  </w:num>
  <w:num w:numId="8">
    <w:abstractNumId w:val="12"/>
  </w:num>
  <w:num w:numId="9">
    <w:abstractNumId w:val="1"/>
  </w:num>
  <w:num w:numId="10">
    <w:abstractNumId w:val="0"/>
  </w:num>
  <w:num w:numId="11">
    <w:abstractNumId w:val="6"/>
  </w:num>
  <w:num w:numId="12">
    <w:abstractNumId w:val="2"/>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CB"/>
    <w:rsid w:val="0000772B"/>
    <w:rsid w:val="00013D73"/>
    <w:rsid w:val="00022B5D"/>
    <w:rsid w:val="00024AA3"/>
    <w:rsid w:val="00024F5E"/>
    <w:rsid w:val="00032C3C"/>
    <w:rsid w:val="00040E86"/>
    <w:rsid w:val="00051C24"/>
    <w:rsid w:val="00062010"/>
    <w:rsid w:val="00063188"/>
    <w:rsid w:val="0007379B"/>
    <w:rsid w:val="000831B8"/>
    <w:rsid w:val="00086405"/>
    <w:rsid w:val="000978DD"/>
    <w:rsid w:val="000A3911"/>
    <w:rsid w:val="000A7145"/>
    <w:rsid w:val="000A762B"/>
    <w:rsid w:val="000B6AF0"/>
    <w:rsid w:val="000C12CB"/>
    <w:rsid w:val="000C65FB"/>
    <w:rsid w:val="000D2034"/>
    <w:rsid w:val="000D7E65"/>
    <w:rsid w:val="000F062B"/>
    <w:rsid w:val="000F1851"/>
    <w:rsid w:val="00103D23"/>
    <w:rsid w:val="0010696E"/>
    <w:rsid w:val="00107EC1"/>
    <w:rsid w:val="00114F2D"/>
    <w:rsid w:val="00126F5F"/>
    <w:rsid w:val="00131368"/>
    <w:rsid w:val="00133C63"/>
    <w:rsid w:val="0015218E"/>
    <w:rsid w:val="00152DA2"/>
    <w:rsid w:val="0017033B"/>
    <w:rsid w:val="00174CB9"/>
    <w:rsid w:val="001763CB"/>
    <w:rsid w:val="001800FB"/>
    <w:rsid w:val="00190048"/>
    <w:rsid w:val="0019046F"/>
    <w:rsid w:val="00196D12"/>
    <w:rsid w:val="001A7C91"/>
    <w:rsid w:val="001B0E8C"/>
    <w:rsid w:val="001C1D9D"/>
    <w:rsid w:val="001C21D4"/>
    <w:rsid w:val="001C264F"/>
    <w:rsid w:val="001C66F1"/>
    <w:rsid w:val="001D07CD"/>
    <w:rsid w:val="001D373D"/>
    <w:rsid w:val="001D58D6"/>
    <w:rsid w:val="001D69C8"/>
    <w:rsid w:val="001E3D00"/>
    <w:rsid w:val="001F0C06"/>
    <w:rsid w:val="001F6EEB"/>
    <w:rsid w:val="00202A60"/>
    <w:rsid w:val="002304A9"/>
    <w:rsid w:val="00231DD6"/>
    <w:rsid w:val="00235EAC"/>
    <w:rsid w:val="00244641"/>
    <w:rsid w:val="00255F4B"/>
    <w:rsid w:val="0026140F"/>
    <w:rsid w:val="00263998"/>
    <w:rsid w:val="002744E6"/>
    <w:rsid w:val="00286C57"/>
    <w:rsid w:val="00287700"/>
    <w:rsid w:val="002C0503"/>
    <w:rsid w:val="002C0CC4"/>
    <w:rsid w:val="002C1F71"/>
    <w:rsid w:val="002C6317"/>
    <w:rsid w:val="002F472F"/>
    <w:rsid w:val="002F72D4"/>
    <w:rsid w:val="00303BFF"/>
    <w:rsid w:val="00312E7E"/>
    <w:rsid w:val="00313B28"/>
    <w:rsid w:val="00316E91"/>
    <w:rsid w:val="0032126A"/>
    <w:rsid w:val="003216E8"/>
    <w:rsid w:val="003254B5"/>
    <w:rsid w:val="00336594"/>
    <w:rsid w:val="00342C6D"/>
    <w:rsid w:val="00371360"/>
    <w:rsid w:val="0039789A"/>
    <w:rsid w:val="003A4D4A"/>
    <w:rsid w:val="003B164A"/>
    <w:rsid w:val="003C12C2"/>
    <w:rsid w:val="003C3B13"/>
    <w:rsid w:val="003C5189"/>
    <w:rsid w:val="003C7C95"/>
    <w:rsid w:val="0040118F"/>
    <w:rsid w:val="00404368"/>
    <w:rsid w:val="00412382"/>
    <w:rsid w:val="004135A8"/>
    <w:rsid w:val="00420C72"/>
    <w:rsid w:val="00420E91"/>
    <w:rsid w:val="00422563"/>
    <w:rsid w:val="0042602B"/>
    <w:rsid w:val="00427397"/>
    <w:rsid w:val="004404B9"/>
    <w:rsid w:val="00440670"/>
    <w:rsid w:val="00443ED3"/>
    <w:rsid w:val="0044678F"/>
    <w:rsid w:val="00451D27"/>
    <w:rsid w:val="00490B79"/>
    <w:rsid w:val="00491A94"/>
    <w:rsid w:val="004A797C"/>
    <w:rsid w:val="004B0CD0"/>
    <w:rsid w:val="004B0FE9"/>
    <w:rsid w:val="004B2A8E"/>
    <w:rsid w:val="004B4B64"/>
    <w:rsid w:val="004D08C6"/>
    <w:rsid w:val="004D2ECB"/>
    <w:rsid w:val="004F522D"/>
    <w:rsid w:val="00503662"/>
    <w:rsid w:val="00507AE4"/>
    <w:rsid w:val="00512919"/>
    <w:rsid w:val="00512B65"/>
    <w:rsid w:val="00514F2D"/>
    <w:rsid w:val="00516A97"/>
    <w:rsid w:val="00520CE9"/>
    <w:rsid w:val="00523D13"/>
    <w:rsid w:val="0054173C"/>
    <w:rsid w:val="00544A6B"/>
    <w:rsid w:val="005606EF"/>
    <w:rsid w:val="00571A40"/>
    <w:rsid w:val="005A0632"/>
    <w:rsid w:val="005B3519"/>
    <w:rsid w:val="005B6328"/>
    <w:rsid w:val="005C4C07"/>
    <w:rsid w:val="005D2023"/>
    <w:rsid w:val="005E7803"/>
    <w:rsid w:val="006042A5"/>
    <w:rsid w:val="00620C08"/>
    <w:rsid w:val="00642933"/>
    <w:rsid w:val="0065155E"/>
    <w:rsid w:val="00670E24"/>
    <w:rsid w:val="00681002"/>
    <w:rsid w:val="00696672"/>
    <w:rsid w:val="006B38AE"/>
    <w:rsid w:val="006C15A7"/>
    <w:rsid w:val="006C3BE3"/>
    <w:rsid w:val="006C7163"/>
    <w:rsid w:val="006F35DF"/>
    <w:rsid w:val="006F7A9F"/>
    <w:rsid w:val="00714260"/>
    <w:rsid w:val="0072421E"/>
    <w:rsid w:val="00731367"/>
    <w:rsid w:val="00734C29"/>
    <w:rsid w:val="00747843"/>
    <w:rsid w:val="00755633"/>
    <w:rsid w:val="007671A7"/>
    <w:rsid w:val="00771E4B"/>
    <w:rsid w:val="00775C1E"/>
    <w:rsid w:val="007774BD"/>
    <w:rsid w:val="00780F0F"/>
    <w:rsid w:val="00781738"/>
    <w:rsid w:val="00782C1A"/>
    <w:rsid w:val="00785814"/>
    <w:rsid w:val="00790D4E"/>
    <w:rsid w:val="007A0603"/>
    <w:rsid w:val="007B185E"/>
    <w:rsid w:val="007B19C9"/>
    <w:rsid w:val="007B60C7"/>
    <w:rsid w:val="007B6167"/>
    <w:rsid w:val="007D0303"/>
    <w:rsid w:val="007D3143"/>
    <w:rsid w:val="007D56D2"/>
    <w:rsid w:val="007E02F1"/>
    <w:rsid w:val="007E3DCA"/>
    <w:rsid w:val="007F1424"/>
    <w:rsid w:val="00811ABD"/>
    <w:rsid w:val="00812E28"/>
    <w:rsid w:val="0081436E"/>
    <w:rsid w:val="00827200"/>
    <w:rsid w:val="008404ED"/>
    <w:rsid w:val="008409E9"/>
    <w:rsid w:val="00854FD2"/>
    <w:rsid w:val="00855B6C"/>
    <w:rsid w:val="00887DDB"/>
    <w:rsid w:val="008934B9"/>
    <w:rsid w:val="008A032E"/>
    <w:rsid w:val="008A295A"/>
    <w:rsid w:val="008B4408"/>
    <w:rsid w:val="008D1216"/>
    <w:rsid w:val="008E0451"/>
    <w:rsid w:val="008F73D4"/>
    <w:rsid w:val="00927C19"/>
    <w:rsid w:val="0094438C"/>
    <w:rsid w:val="0094672A"/>
    <w:rsid w:val="00953365"/>
    <w:rsid w:val="0097255B"/>
    <w:rsid w:val="00972AB2"/>
    <w:rsid w:val="00974A8E"/>
    <w:rsid w:val="00977E94"/>
    <w:rsid w:val="00993D67"/>
    <w:rsid w:val="009A4660"/>
    <w:rsid w:val="009B4282"/>
    <w:rsid w:val="009C4E11"/>
    <w:rsid w:val="009E5CC5"/>
    <w:rsid w:val="009F0F97"/>
    <w:rsid w:val="009F421A"/>
    <w:rsid w:val="00A048DB"/>
    <w:rsid w:val="00A112A1"/>
    <w:rsid w:val="00A1534D"/>
    <w:rsid w:val="00A22895"/>
    <w:rsid w:val="00A265E1"/>
    <w:rsid w:val="00A357AB"/>
    <w:rsid w:val="00A36355"/>
    <w:rsid w:val="00A36965"/>
    <w:rsid w:val="00A4442C"/>
    <w:rsid w:val="00A44ECB"/>
    <w:rsid w:val="00A554D4"/>
    <w:rsid w:val="00A81EFD"/>
    <w:rsid w:val="00A862B8"/>
    <w:rsid w:val="00A8670E"/>
    <w:rsid w:val="00A96CE3"/>
    <w:rsid w:val="00AC55F2"/>
    <w:rsid w:val="00AC710E"/>
    <w:rsid w:val="00AD4CE1"/>
    <w:rsid w:val="00AD69D9"/>
    <w:rsid w:val="00AE7E22"/>
    <w:rsid w:val="00AF2A4B"/>
    <w:rsid w:val="00B01F01"/>
    <w:rsid w:val="00B16A5C"/>
    <w:rsid w:val="00B27399"/>
    <w:rsid w:val="00B354B9"/>
    <w:rsid w:val="00B60C3D"/>
    <w:rsid w:val="00B95B31"/>
    <w:rsid w:val="00BA4755"/>
    <w:rsid w:val="00BB4321"/>
    <w:rsid w:val="00BB6EA9"/>
    <w:rsid w:val="00BC3906"/>
    <w:rsid w:val="00BD479C"/>
    <w:rsid w:val="00BE3AA6"/>
    <w:rsid w:val="00BE5D64"/>
    <w:rsid w:val="00BF3905"/>
    <w:rsid w:val="00BF41CA"/>
    <w:rsid w:val="00BF694C"/>
    <w:rsid w:val="00C020BA"/>
    <w:rsid w:val="00C137D4"/>
    <w:rsid w:val="00C47963"/>
    <w:rsid w:val="00C6131D"/>
    <w:rsid w:val="00C66E5C"/>
    <w:rsid w:val="00C900F5"/>
    <w:rsid w:val="00C913F1"/>
    <w:rsid w:val="00CB48C8"/>
    <w:rsid w:val="00CD1BB0"/>
    <w:rsid w:val="00CD22DC"/>
    <w:rsid w:val="00CE021B"/>
    <w:rsid w:val="00CE1AD1"/>
    <w:rsid w:val="00CF072C"/>
    <w:rsid w:val="00D03120"/>
    <w:rsid w:val="00D15F10"/>
    <w:rsid w:val="00D228E5"/>
    <w:rsid w:val="00D24CA5"/>
    <w:rsid w:val="00D41420"/>
    <w:rsid w:val="00D6482D"/>
    <w:rsid w:val="00D67C8D"/>
    <w:rsid w:val="00D73D78"/>
    <w:rsid w:val="00D80671"/>
    <w:rsid w:val="00D825F7"/>
    <w:rsid w:val="00D830D4"/>
    <w:rsid w:val="00D97E0F"/>
    <w:rsid w:val="00D97E1F"/>
    <w:rsid w:val="00DA1A4C"/>
    <w:rsid w:val="00DA3432"/>
    <w:rsid w:val="00DB5BE2"/>
    <w:rsid w:val="00DB5E7B"/>
    <w:rsid w:val="00DB74BE"/>
    <w:rsid w:val="00DC5333"/>
    <w:rsid w:val="00DE1393"/>
    <w:rsid w:val="00DE2A9D"/>
    <w:rsid w:val="00DF15BA"/>
    <w:rsid w:val="00E02E14"/>
    <w:rsid w:val="00E07B17"/>
    <w:rsid w:val="00E07C89"/>
    <w:rsid w:val="00E14776"/>
    <w:rsid w:val="00E17032"/>
    <w:rsid w:val="00E34CE9"/>
    <w:rsid w:val="00E3539F"/>
    <w:rsid w:val="00E50666"/>
    <w:rsid w:val="00E54931"/>
    <w:rsid w:val="00E72CAC"/>
    <w:rsid w:val="00E76682"/>
    <w:rsid w:val="00E80672"/>
    <w:rsid w:val="00E91AB0"/>
    <w:rsid w:val="00E930F1"/>
    <w:rsid w:val="00EE5F16"/>
    <w:rsid w:val="00EF4BE1"/>
    <w:rsid w:val="00F01328"/>
    <w:rsid w:val="00F034F1"/>
    <w:rsid w:val="00F10E68"/>
    <w:rsid w:val="00F15833"/>
    <w:rsid w:val="00F15AA7"/>
    <w:rsid w:val="00F20DF2"/>
    <w:rsid w:val="00F2548F"/>
    <w:rsid w:val="00F43D4B"/>
    <w:rsid w:val="00F44967"/>
    <w:rsid w:val="00F5060E"/>
    <w:rsid w:val="00F509D7"/>
    <w:rsid w:val="00F54E69"/>
    <w:rsid w:val="00F56A80"/>
    <w:rsid w:val="00F570BC"/>
    <w:rsid w:val="00F627B8"/>
    <w:rsid w:val="00F62BE6"/>
    <w:rsid w:val="00F71D9A"/>
    <w:rsid w:val="00F77D4A"/>
    <w:rsid w:val="00F80210"/>
    <w:rsid w:val="00F80FD1"/>
    <w:rsid w:val="00F8281F"/>
    <w:rsid w:val="00FB0616"/>
    <w:rsid w:val="00FB49F9"/>
    <w:rsid w:val="00FB65DB"/>
    <w:rsid w:val="00FC0C33"/>
    <w:rsid w:val="00FC1EE0"/>
    <w:rsid w:val="00FD1378"/>
    <w:rsid w:val="00FE1D48"/>
    <w:rsid w:val="00FE3ACA"/>
    <w:rsid w:val="00FE41C0"/>
    <w:rsid w:val="00FF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892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3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900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00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00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72A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EC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C264F"/>
    <w:pPr>
      <w:tabs>
        <w:tab w:val="center" w:pos="4320"/>
        <w:tab w:val="right" w:pos="8640"/>
      </w:tabs>
    </w:pPr>
  </w:style>
  <w:style w:type="character" w:customStyle="1" w:styleId="HeaderChar">
    <w:name w:val="Header Char"/>
    <w:basedOn w:val="DefaultParagraphFont"/>
    <w:link w:val="Header"/>
    <w:uiPriority w:val="99"/>
    <w:rsid w:val="001C264F"/>
  </w:style>
  <w:style w:type="paragraph" w:styleId="Footer">
    <w:name w:val="footer"/>
    <w:basedOn w:val="Normal"/>
    <w:link w:val="FooterChar"/>
    <w:uiPriority w:val="99"/>
    <w:unhideWhenUsed/>
    <w:rsid w:val="001C264F"/>
    <w:pPr>
      <w:tabs>
        <w:tab w:val="center" w:pos="4320"/>
        <w:tab w:val="right" w:pos="8640"/>
      </w:tabs>
    </w:pPr>
  </w:style>
  <w:style w:type="character" w:customStyle="1" w:styleId="FooterChar">
    <w:name w:val="Footer Char"/>
    <w:basedOn w:val="DefaultParagraphFont"/>
    <w:link w:val="Footer"/>
    <w:uiPriority w:val="99"/>
    <w:rsid w:val="001C264F"/>
  </w:style>
  <w:style w:type="character" w:customStyle="1" w:styleId="Heading1Char">
    <w:name w:val="Heading 1 Char"/>
    <w:basedOn w:val="DefaultParagraphFont"/>
    <w:link w:val="Heading1"/>
    <w:uiPriority w:val="9"/>
    <w:rsid w:val="0040436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900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00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00F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900F5"/>
    <w:pPr>
      <w:ind w:left="720"/>
      <w:contextualSpacing/>
    </w:pPr>
  </w:style>
  <w:style w:type="character" w:styleId="PageNumber">
    <w:name w:val="page number"/>
    <w:basedOn w:val="DefaultParagraphFont"/>
    <w:uiPriority w:val="99"/>
    <w:semiHidden/>
    <w:unhideWhenUsed/>
    <w:rsid w:val="009F0F97"/>
  </w:style>
  <w:style w:type="character" w:styleId="IntenseEmphasis">
    <w:name w:val="Intense Emphasis"/>
    <w:basedOn w:val="DefaultParagraphFont"/>
    <w:uiPriority w:val="21"/>
    <w:qFormat/>
    <w:rsid w:val="001800FB"/>
    <w:rPr>
      <w:b/>
      <w:bCs/>
      <w:i/>
      <w:iCs/>
      <w:color w:val="4F81BD" w:themeColor="accent1"/>
    </w:rPr>
  </w:style>
  <w:style w:type="character" w:styleId="Emphasis">
    <w:name w:val="Emphasis"/>
    <w:basedOn w:val="DefaultParagraphFont"/>
    <w:uiPriority w:val="20"/>
    <w:qFormat/>
    <w:rsid w:val="001800FB"/>
    <w:rPr>
      <w:i/>
      <w:iCs/>
    </w:rPr>
  </w:style>
  <w:style w:type="character" w:styleId="SubtleEmphasis">
    <w:name w:val="Subtle Emphasis"/>
    <w:basedOn w:val="DefaultParagraphFont"/>
    <w:uiPriority w:val="19"/>
    <w:qFormat/>
    <w:rsid w:val="001800FB"/>
    <w:rPr>
      <w:i/>
      <w:iCs/>
      <w:color w:val="808080" w:themeColor="text1" w:themeTint="7F"/>
    </w:rPr>
  </w:style>
  <w:style w:type="table" w:styleId="TableGrid">
    <w:name w:val="Table Grid"/>
    <w:basedOn w:val="TableNormal"/>
    <w:uiPriority w:val="59"/>
    <w:rsid w:val="00202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3BFF"/>
    <w:rPr>
      <w:sz w:val="18"/>
      <w:szCs w:val="18"/>
    </w:rPr>
  </w:style>
  <w:style w:type="paragraph" w:styleId="CommentText">
    <w:name w:val="annotation text"/>
    <w:basedOn w:val="Normal"/>
    <w:link w:val="CommentTextChar"/>
    <w:uiPriority w:val="99"/>
    <w:semiHidden/>
    <w:unhideWhenUsed/>
    <w:rsid w:val="00303BFF"/>
  </w:style>
  <w:style w:type="character" w:customStyle="1" w:styleId="CommentTextChar">
    <w:name w:val="Comment Text Char"/>
    <w:basedOn w:val="DefaultParagraphFont"/>
    <w:link w:val="CommentText"/>
    <w:uiPriority w:val="99"/>
    <w:semiHidden/>
    <w:rsid w:val="00303BFF"/>
  </w:style>
  <w:style w:type="paragraph" w:styleId="CommentSubject">
    <w:name w:val="annotation subject"/>
    <w:basedOn w:val="CommentText"/>
    <w:next w:val="CommentText"/>
    <w:link w:val="CommentSubjectChar"/>
    <w:uiPriority w:val="99"/>
    <w:semiHidden/>
    <w:unhideWhenUsed/>
    <w:rsid w:val="00303BFF"/>
    <w:rPr>
      <w:b/>
      <w:bCs/>
      <w:sz w:val="20"/>
      <w:szCs w:val="20"/>
    </w:rPr>
  </w:style>
  <w:style w:type="character" w:customStyle="1" w:styleId="CommentSubjectChar">
    <w:name w:val="Comment Subject Char"/>
    <w:basedOn w:val="CommentTextChar"/>
    <w:link w:val="CommentSubject"/>
    <w:uiPriority w:val="99"/>
    <w:semiHidden/>
    <w:rsid w:val="00303BFF"/>
    <w:rPr>
      <w:b/>
      <w:bCs/>
      <w:sz w:val="20"/>
      <w:szCs w:val="20"/>
    </w:rPr>
  </w:style>
  <w:style w:type="paragraph" w:styleId="BalloonText">
    <w:name w:val="Balloon Text"/>
    <w:basedOn w:val="Normal"/>
    <w:link w:val="BalloonTextChar"/>
    <w:uiPriority w:val="99"/>
    <w:semiHidden/>
    <w:unhideWhenUsed/>
    <w:rsid w:val="00303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BFF"/>
    <w:rPr>
      <w:rFonts w:ascii="Lucida Grande" w:hAnsi="Lucida Grande" w:cs="Lucida Grande"/>
      <w:sz w:val="18"/>
      <w:szCs w:val="18"/>
    </w:rPr>
  </w:style>
  <w:style w:type="paragraph" w:styleId="NoSpacing">
    <w:name w:val="No Spacing"/>
    <w:uiPriority w:val="1"/>
    <w:qFormat/>
    <w:rsid w:val="00972AB2"/>
  </w:style>
  <w:style w:type="paragraph" w:styleId="Subtitle">
    <w:name w:val="Subtitle"/>
    <w:basedOn w:val="Normal"/>
    <w:next w:val="Normal"/>
    <w:link w:val="SubtitleChar"/>
    <w:uiPriority w:val="11"/>
    <w:qFormat/>
    <w:rsid w:val="00972AB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72AB2"/>
    <w:rPr>
      <w:rFonts w:asciiTheme="majorHAnsi" w:eastAsiaTheme="majorEastAsia" w:hAnsiTheme="majorHAnsi" w:cstheme="majorBidi"/>
      <w:i/>
      <w:iCs/>
      <w:color w:val="4F81BD" w:themeColor="accent1"/>
      <w:spacing w:val="15"/>
    </w:rPr>
  </w:style>
  <w:style w:type="character" w:customStyle="1" w:styleId="Heading5Char">
    <w:name w:val="Heading 5 Char"/>
    <w:basedOn w:val="DefaultParagraphFont"/>
    <w:link w:val="Heading5"/>
    <w:uiPriority w:val="9"/>
    <w:rsid w:val="00972AB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6482D"/>
    <w:rPr>
      <w:color w:val="0000FF" w:themeColor="hyperlink"/>
      <w:u w:val="single"/>
    </w:rPr>
  </w:style>
  <w:style w:type="character" w:styleId="FollowedHyperlink">
    <w:name w:val="FollowedHyperlink"/>
    <w:basedOn w:val="DefaultParagraphFont"/>
    <w:uiPriority w:val="99"/>
    <w:semiHidden/>
    <w:unhideWhenUsed/>
    <w:rsid w:val="00E1703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436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900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00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00F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72AB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EC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C264F"/>
    <w:pPr>
      <w:tabs>
        <w:tab w:val="center" w:pos="4320"/>
        <w:tab w:val="right" w:pos="8640"/>
      </w:tabs>
    </w:pPr>
  </w:style>
  <w:style w:type="character" w:customStyle="1" w:styleId="HeaderChar">
    <w:name w:val="Header Char"/>
    <w:basedOn w:val="DefaultParagraphFont"/>
    <w:link w:val="Header"/>
    <w:uiPriority w:val="99"/>
    <w:rsid w:val="001C264F"/>
  </w:style>
  <w:style w:type="paragraph" w:styleId="Footer">
    <w:name w:val="footer"/>
    <w:basedOn w:val="Normal"/>
    <w:link w:val="FooterChar"/>
    <w:uiPriority w:val="99"/>
    <w:unhideWhenUsed/>
    <w:rsid w:val="001C264F"/>
    <w:pPr>
      <w:tabs>
        <w:tab w:val="center" w:pos="4320"/>
        <w:tab w:val="right" w:pos="8640"/>
      </w:tabs>
    </w:pPr>
  </w:style>
  <w:style w:type="character" w:customStyle="1" w:styleId="FooterChar">
    <w:name w:val="Footer Char"/>
    <w:basedOn w:val="DefaultParagraphFont"/>
    <w:link w:val="Footer"/>
    <w:uiPriority w:val="99"/>
    <w:rsid w:val="001C264F"/>
  </w:style>
  <w:style w:type="character" w:customStyle="1" w:styleId="Heading1Char">
    <w:name w:val="Heading 1 Char"/>
    <w:basedOn w:val="DefaultParagraphFont"/>
    <w:link w:val="Heading1"/>
    <w:uiPriority w:val="9"/>
    <w:rsid w:val="0040436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900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00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900F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900F5"/>
    <w:pPr>
      <w:ind w:left="720"/>
      <w:contextualSpacing/>
    </w:pPr>
  </w:style>
  <w:style w:type="character" w:styleId="PageNumber">
    <w:name w:val="page number"/>
    <w:basedOn w:val="DefaultParagraphFont"/>
    <w:uiPriority w:val="99"/>
    <w:semiHidden/>
    <w:unhideWhenUsed/>
    <w:rsid w:val="009F0F97"/>
  </w:style>
  <w:style w:type="character" w:styleId="IntenseEmphasis">
    <w:name w:val="Intense Emphasis"/>
    <w:basedOn w:val="DefaultParagraphFont"/>
    <w:uiPriority w:val="21"/>
    <w:qFormat/>
    <w:rsid w:val="001800FB"/>
    <w:rPr>
      <w:b/>
      <w:bCs/>
      <w:i/>
      <w:iCs/>
      <w:color w:val="4F81BD" w:themeColor="accent1"/>
    </w:rPr>
  </w:style>
  <w:style w:type="character" w:styleId="Emphasis">
    <w:name w:val="Emphasis"/>
    <w:basedOn w:val="DefaultParagraphFont"/>
    <w:uiPriority w:val="20"/>
    <w:qFormat/>
    <w:rsid w:val="001800FB"/>
    <w:rPr>
      <w:i/>
      <w:iCs/>
    </w:rPr>
  </w:style>
  <w:style w:type="character" w:styleId="SubtleEmphasis">
    <w:name w:val="Subtle Emphasis"/>
    <w:basedOn w:val="DefaultParagraphFont"/>
    <w:uiPriority w:val="19"/>
    <w:qFormat/>
    <w:rsid w:val="001800FB"/>
    <w:rPr>
      <w:i/>
      <w:iCs/>
      <w:color w:val="808080" w:themeColor="text1" w:themeTint="7F"/>
    </w:rPr>
  </w:style>
  <w:style w:type="table" w:styleId="TableGrid">
    <w:name w:val="Table Grid"/>
    <w:basedOn w:val="TableNormal"/>
    <w:uiPriority w:val="59"/>
    <w:rsid w:val="00202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3BFF"/>
    <w:rPr>
      <w:sz w:val="18"/>
      <w:szCs w:val="18"/>
    </w:rPr>
  </w:style>
  <w:style w:type="paragraph" w:styleId="CommentText">
    <w:name w:val="annotation text"/>
    <w:basedOn w:val="Normal"/>
    <w:link w:val="CommentTextChar"/>
    <w:uiPriority w:val="99"/>
    <w:semiHidden/>
    <w:unhideWhenUsed/>
    <w:rsid w:val="00303BFF"/>
  </w:style>
  <w:style w:type="character" w:customStyle="1" w:styleId="CommentTextChar">
    <w:name w:val="Comment Text Char"/>
    <w:basedOn w:val="DefaultParagraphFont"/>
    <w:link w:val="CommentText"/>
    <w:uiPriority w:val="99"/>
    <w:semiHidden/>
    <w:rsid w:val="00303BFF"/>
  </w:style>
  <w:style w:type="paragraph" w:styleId="CommentSubject">
    <w:name w:val="annotation subject"/>
    <w:basedOn w:val="CommentText"/>
    <w:next w:val="CommentText"/>
    <w:link w:val="CommentSubjectChar"/>
    <w:uiPriority w:val="99"/>
    <w:semiHidden/>
    <w:unhideWhenUsed/>
    <w:rsid w:val="00303BFF"/>
    <w:rPr>
      <w:b/>
      <w:bCs/>
      <w:sz w:val="20"/>
      <w:szCs w:val="20"/>
    </w:rPr>
  </w:style>
  <w:style w:type="character" w:customStyle="1" w:styleId="CommentSubjectChar">
    <w:name w:val="Comment Subject Char"/>
    <w:basedOn w:val="CommentTextChar"/>
    <w:link w:val="CommentSubject"/>
    <w:uiPriority w:val="99"/>
    <w:semiHidden/>
    <w:rsid w:val="00303BFF"/>
    <w:rPr>
      <w:b/>
      <w:bCs/>
      <w:sz w:val="20"/>
      <w:szCs w:val="20"/>
    </w:rPr>
  </w:style>
  <w:style w:type="paragraph" w:styleId="BalloonText">
    <w:name w:val="Balloon Text"/>
    <w:basedOn w:val="Normal"/>
    <w:link w:val="BalloonTextChar"/>
    <w:uiPriority w:val="99"/>
    <w:semiHidden/>
    <w:unhideWhenUsed/>
    <w:rsid w:val="00303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3BFF"/>
    <w:rPr>
      <w:rFonts w:ascii="Lucida Grande" w:hAnsi="Lucida Grande" w:cs="Lucida Grande"/>
      <w:sz w:val="18"/>
      <w:szCs w:val="18"/>
    </w:rPr>
  </w:style>
  <w:style w:type="paragraph" w:styleId="NoSpacing">
    <w:name w:val="No Spacing"/>
    <w:uiPriority w:val="1"/>
    <w:qFormat/>
    <w:rsid w:val="00972AB2"/>
  </w:style>
  <w:style w:type="paragraph" w:styleId="Subtitle">
    <w:name w:val="Subtitle"/>
    <w:basedOn w:val="Normal"/>
    <w:next w:val="Normal"/>
    <w:link w:val="SubtitleChar"/>
    <w:uiPriority w:val="11"/>
    <w:qFormat/>
    <w:rsid w:val="00972AB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72AB2"/>
    <w:rPr>
      <w:rFonts w:asciiTheme="majorHAnsi" w:eastAsiaTheme="majorEastAsia" w:hAnsiTheme="majorHAnsi" w:cstheme="majorBidi"/>
      <w:i/>
      <w:iCs/>
      <w:color w:val="4F81BD" w:themeColor="accent1"/>
      <w:spacing w:val="15"/>
    </w:rPr>
  </w:style>
  <w:style w:type="character" w:customStyle="1" w:styleId="Heading5Char">
    <w:name w:val="Heading 5 Char"/>
    <w:basedOn w:val="DefaultParagraphFont"/>
    <w:link w:val="Heading5"/>
    <w:uiPriority w:val="9"/>
    <w:rsid w:val="00972AB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6482D"/>
    <w:rPr>
      <w:color w:val="0000FF" w:themeColor="hyperlink"/>
      <w:u w:val="single"/>
    </w:rPr>
  </w:style>
  <w:style w:type="character" w:styleId="FollowedHyperlink">
    <w:name w:val="FollowedHyperlink"/>
    <w:basedOn w:val="DefaultParagraphFont"/>
    <w:uiPriority w:val="99"/>
    <w:semiHidden/>
    <w:unhideWhenUsed/>
    <w:rsid w:val="00E170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1501</Words>
  <Characters>8560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Hoeffken</dc:creator>
  <cp:keywords/>
  <dc:description/>
  <cp:lastModifiedBy>Johanna Hoeffken</cp:lastModifiedBy>
  <cp:revision>4</cp:revision>
  <dcterms:created xsi:type="dcterms:W3CDTF">2017-01-31T08:39:00Z</dcterms:created>
  <dcterms:modified xsi:type="dcterms:W3CDTF">2017-01-31T10:34:00Z</dcterms:modified>
</cp:coreProperties>
</file>